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114d1_s8.htm"/>
      <w:bookmarkStart w:id="1" w:name="kstm2620114d1_s8"/>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August 4, 2026</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pPr>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S-8</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REGISTRATION STATEMENT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Under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Palvella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2660"/>
        <w:gridCol w:w="60"/>
        <w:gridCol w:w="1565"/>
      </w:tblGrid>
      <w:tr>
        <w:trPr/>
        <w:tc>
          <w:tcPr>
            <w:tcW w:w="266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Nevada</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30-0784346</w:t>
            </w:r>
          </w:p>
        </w:tc>
      </w:tr>
      <w:tr>
        <w:trPr/>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353 W. Lancaster Ave, Suite 200</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Wayne, Pennsylvania 19087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 Equity Incentive Plan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Wesley H. Kaupinen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President and Chief Executive Officer</w:t>
        <w:br/>
        <w:t>Palvella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353 W. Lancaster Ave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200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Wayne, Pennsylvania 19087</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(484) 253-1461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Rachael M. Bushey,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Jennifer L. Porter,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Goodwin Procter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3025 John F Kennedy Blvd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Philadelphia, PA 19104</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(445) 207-7800</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835"/>
        <w:gridCol w:w="60"/>
        <w:gridCol w:w="230"/>
        <w:gridCol w:w="60"/>
        <w:gridCol w:w="2225"/>
        <w:gridCol w:w="60"/>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90" w:type="dxa"/>
            <w:gridSpan w:val="2"/>
            <w:tcBorders/>
            <w:vAlign w:val="center"/>
          </w:tcPr>
          <w:p>
            <w:pPr>
              <w:pStyle w:val="TableContents"/>
              <w:bidi w:val="0"/>
              <w:spacing w:before="0" w:after="283"/>
              <w:jc w:val="left"/>
              <w:rPr/>
            </w:pPr>
            <w:r>
              <w:rPr/>
              <w:t> </w:t>
            </w:r>
          </w:p>
        </w:tc>
        <w:tc>
          <w:tcPr>
            <w:tcW w:w="2285" w:type="dxa"/>
            <w:gridSpan w:val="2"/>
            <w:tcBorders/>
            <w:vAlign w:val="center"/>
          </w:tcPr>
          <w:p>
            <w:pPr>
              <w:pStyle w:val="TableContents"/>
              <w:bidi w:val="0"/>
              <w:spacing w:before="0" w:after="283"/>
              <w:jc w:val="left"/>
              <w:rPr/>
            </w:pPr>
            <w:r>
              <w:rPr/>
              <w:t> </w:t>
            </w:r>
          </w:p>
        </w:tc>
        <w:tc>
          <w:tcPr>
            <w:tcW w:w="30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pPr>
      <w:r>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27, 2026, the Board of Directors of Palvella Therapeutics, Inc. (the “Company”) adopted, subject to approval by the stockholders, an amendment to the Palvella Therapeutics, Inc. 2024 Equity Incentive Plan (the “2024 Plan”) (such amendment, the “Amendment” and the 2024 Plan, after giving effect to the Amendment, the “Amended 2024 Plan”), which the stockholders of the Company approved at the Company’s 2026 Annual Meeting of Stockholders held on June 10, 2026. The Amendment increased the number of shares of common stock, par value $0.001 per share, of the Company (“Common Stock”), authorized for issuance thereunder by 750,000 shares of Common Stock (the “Additional Shares”). This Registration Statement on Form S-8 (the “Registration Statement”) is being filed solely for the purpose of registering the Additional Shares for issuance under the Amended 2024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Such Additional Shares are of the same class of securities as the shares of Common Stock issuable under the 2024 Plan for which the currently effective Registration Statement on Form S-8 (File No. </w:t>
      </w:r>
      <w:hyperlink r:id="rId2">
        <w:r>
          <w:rPr>
            <w:rStyle w:val="InternetLink"/>
            <w:rFonts w:ascii="Times New Roman;Times;Serif" w:hAnsi="Times New Roman;Times;Serif"/>
            <w:b w:val="false"/>
            <w:i w:val="false"/>
            <w:caps w:val="false"/>
            <w:smallCaps w:val="false"/>
            <w:sz w:val="20"/>
          </w:rPr>
          <w:t>333-285029</w:t>
        </w:r>
      </w:hyperlink>
      <w:r>
        <w:rPr>
          <w:rFonts w:ascii="Times New Roman;Times;Serif" w:hAnsi="Times New Roman;Times;Serif"/>
          <w:b w:val="false"/>
          <w:i w:val="false"/>
          <w:caps w:val="false"/>
          <w:smallCaps w:val="false"/>
          <w:sz w:val="20"/>
        </w:rPr>
        <w:t>) filed with the Securities and Exchange Commission (the “Commission”) on February 18, 2025 (the “Prior Registration Statement”), was filed. Upon the effectiveness of this Registration Statement, an aggregate of 4,205,433 shares of Common Stock will be registered for issuance from time to time under the Amended 2024 Plan, inclusive of the Additional Shares. Pursuant to General Instruction E of Form S-8 regarding registration of Additional Securities, the contents of the Prior Registration Statement are incorporated herein by reference except to the extent supplemented, amended or superseded by the information set forth herein. Only those items of Form S-8 containing new information not contained in the Prior Registration Statement are presented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620"/>
        <w:gridCol w:w="3650"/>
      </w:tblGrid>
      <w:tr>
        <w:trPr/>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3.</w:t>
            </w:r>
          </w:p>
        </w:tc>
        <w:tc>
          <w:tcPr>
            <w:tcW w:w="3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Incorporation of Documents by Reference.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incorporates by reference into this Registration Statement the following documents filed with the Commission: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03" w:type="dxa"/>
            <w:tcBorders/>
            <w:vAlign w:val="center"/>
          </w:tcPr>
          <w:p>
            <w:pPr>
              <w:pStyle w:val="TableContents"/>
              <w:bidi w:val="0"/>
              <w:spacing w:before="0" w:after="283"/>
              <w:jc w:val="left"/>
              <w:rPr/>
            </w:pPr>
            <w:r>
              <w:rPr>
                <w:rFonts w:ascii="Times New Roman;Times;Serif" w:hAnsi="Times New Roman;Times;Serif"/>
                <w:sz w:val="20"/>
              </w:rPr>
              <w:t xml:space="preserve">The registrant’s </w:t>
            </w:r>
            <w:hyperlink r:id="rId3">
              <w:r>
                <w:rPr>
                  <w:rStyle w:val="InternetLink"/>
                  <w:rFonts w:ascii="Times New Roman;Times;Serif" w:hAnsi="Times New Roman;Times;Serif"/>
                  <w:sz w:val="20"/>
                </w:rPr>
                <w:t>Annual Report on Form 10-K for the year ended December 31, 2025, filed with the Commission on March 31, 2026</w:t>
              </w:r>
            </w:hyperlink>
            <w:r>
              <w:rPr>
                <w:rFonts w:ascii="Times New Roman;Times;Serif" w:hAnsi="Times New Roman;Times;Serif"/>
                <w:sz w:val="20"/>
              </w:rPr>
              <w:t xml:space="preserve">, including the information specifically incorporated by reference into the Annual Report on Form 10-K from </w:t>
            </w:r>
            <w:hyperlink r:id="rId4">
              <w:r>
                <w:rPr>
                  <w:rStyle w:val="InternetLink"/>
                  <w:rFonts w:ascii="Times New Roman;Times;Serif" w:hAnsi="Times New Roman;Times;Serif"/>
                  <w:sz w:val="20"/>
                </w:rPr>
                <w:t>the registrant’s Definitive Proxy Statement for its 2026 Annual Meeting of Stockholders, filed by the registrant with the Commission on April 30, 2026</w:t>
              </w:r>
            </w:hyperlink>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45" w:type="dxa"/>
            <w:tcBorders/>
            <w:vAlign w:val="center"/>
          </w:tcPr>
          <w:p>
            <w:pPr>
              <w:pStyle w:val="TableContents"/>
              <w:bidi w:val="0"/>
              <w:spacing w:before="0" w:after="283"/>
              <w:jc w:val="left"/>
              <w:rPr/>
            </w:pPr>
            <w:r>
              <w:rPr>
                <w:rFonts w:ascii="Times New Roman;Times;Serif" w:hAnsi="Times New Roman;Times;Serif"/>
                <w:sz w:val="20"/>
              </w:rPr>
              <w:t xml:space="preserve">The registrant’s Quarterly Reports on Form 10-Q for the quarters ended March 31, 2026 and June 30, 2026, filed with the Commission on </w:t>
            </w:r>
            <w:hyperlink r:id="rId5">
              <w:r>
                <w:rPr>
                  <w:rStyle w:val="InternetLink"/>
                  <w:rFonts w:ascii="Times New Roman;Times;Serif" w:hAnsi="Times New Roman;Times;Serif"/>
                  <w:sz w:val="20"/>
                </w:rPr>
                <w:t>May 7, 2026</w:t>
              </w:r>
            </w:hyperlink>
            <w:r>
              <w:rPr>
                <w:rFonts w:ascii="Times New Roman;Times;Serif" w:hAnsi="Times New Roman;Times;Serif"/>
                <w:sz w:val="20"/>
              </w:rPr>
              <w:t xml:space="preserve"> and </w:t>
            </w:r>
            <w:hyperlink r:id="rId6">
              <w:r>
                <w:rPr>
                  <w:rStyle w:val="InternetLink"/>
                  <w:rFonts w:ascii="Times New Roman;Times;Serif" w:hAnsi="Times New Roman;Times;Serif"/>
                  <w:sz w:val="20"/>
                </w:rPr>
                <w:t>August 4, 2026</w:t>
              </w:r>
            </w:hyperlink>
            <w:r>
              <w:rPr>
                <w:rFonts w:ascii="Times New Roman;Times;Serif" w:hAnsi="Times New Roman;Times;Serif"/>
                <w:sz w:val="20"/>
              </w:rPr>
              <w:t>, respectively;</w:t>
            </w:r>
          </w:p>
        </w:tc>
      </w:tr>
      <w:tr>
        <w:trPr/>
        <w:tc>
          <w:tcPr>
            <w:tcW w:w="260" w:type="dxa"/>
            <w:tcBorders/>
            <w:vAlign w:val="center"/>
          </w:tcPr>
          <w:p>
            <w:pPr>
              <w:pStyle w:val="TableContents"/>
              <w:bidi w:val="0"/>
              <w:spacing w:before="0" w:after="283"/>
              <w:jc w:val="left"/>
              <w:rPr/>
            </w:pPr>
            <w:r>
              <w:rPr/>
              <w:t> </w:t>
            </w:r>
          </w:p>
        </w:tc>
        <w:tc>
          <w:tcPr>
            <w:tcW w:w="9945" w:type="dxa"/>
            <w:tcBorders/>
            <w:vAlign w:val="center"/>
          </w:tcPr>
          <w:p>
            <w:pPr>
              <w:pStyle w:val="TableContents"/>
              <w:bidi w:val="0"/>
              <w:spacing w:before="0" w:after="283"/>
              <w:jc w:val="left"/>
              <w:rPr/>
            </w:pPr>
            <w:r>
              <w:rPr/>
              <w:t> </w:t>
            </w:r>
          </w:p>
        </w:tc>
      </w:tr>
      <w:tr>
        <w:trPr/>
        <w:tc>
          <w:tcPr>
            <w:tcW w:w="260" w:type="dxa"/>
            <w:tcBorders/>
            <w:vAlign w:val="center"/>
          </w:tcPr>
          <w:p>
            <w:pPr>
              <w:pStyle w:val="TableContents"/>
              <w:bidi w:val="0"/>
              <w:spacing w:before="0" w:after="283"/>
              <w:jc w:val="left"/>
              <w:rPr/>
            </w:pPr>
            <w:r>
              <w:rPr/>
              <w:t> </w:t>
            </w:r>
            <w:r>
              <w:rPr>
                <w:rFonts w:ascii="Times New Roman;Times;Serif" w:hAnsi="Times New Roman;Times;Serif"/>
                <w:sz w:val="20"/>
              </w:rPr>
              <w:t>(c)</w:t>
            </w:r>
          </w:p>
        </w:tc>
        <w:tc>
          <w:tcPr>
            <w:tcW w:w="9945" w:type="dxa"/>
            <w:tcBorders/>
            <w:vAlign w:val="center"/>
          </w:tcPr>
          <w:p>
            <w:pPr>
              <w:pStyle w:val="TableContents"/>
              <w:bidi w:val="0"/>
              <w:spacing w:before="0" w:after="283"/>
              <w:jc w:val="left"/>
              <w:rPr/>
            </w:pPr>
            <w:r>
              <w:rPr>
                <w:rFonts w:ascii="Times New Roman;Times;Serif" w:hAnsi="Times New Roman;Times;Serif"/>
                <w:sz w:val="20"/>
              </w:rPr>
              <w:t xml:space="preserve">The registrant’s Current Reports on Form 8-K (in each case other than portions thereof furnished under Item 2.02 or Item 7.01 of Form 8-K and exhibits accompanying such reports related to such items) filed with the Commission on </w:t>
            </w:r>
            <w:hyperlink r:id="rId7">
              <w:r>
                <w:rPr>
                  <w:rStyle w:val="InternetLink"/>
                  <w:rFonts w:ascii="Times New Roman;Times;Serif" w:hAnsi="Times New Roman;Times;Serif"/>
                  <w:sz w:val="20"/>
                </w:rPr>
                <w:t>January 12, 2026</w:t>
              </w:r>
            </w:hyperlink>
            <w:r>
              <w:rPr>
                <w:rFonts w:ascii="Times New Roman;Times;Serif" w:hAnsi="Times New Roman;Times;Serif"/>
                <w:sz w:val="20"/>
              </w:rPr>
              <w:t xml:space="preserve">, </w:t>
            </w:r>
            <w:hyperlink r:id="rId8">
              <w:r>
                <w:rPr>
                  <w:rStyle w:val="InternetLink"/>
                  <w:rFonts w:ascii="Times New Roman;Times;Serif" w:hAnsi="Times New Roman;Times;Serif"/>
                  <w:sz w:val="20"/>
                </w:rPr>
                <w:t>January 29, 2026</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February 24, 2026</w:t>
              </w:r>
            </w:hyperlink>
            <w:r>
              <w:rPr>
                <w:rFonts w:ascii="Times New Roman;Times;Serif" w:hAnsi="Times New Roman;Times;Serif"/>
                <w:sz w:val="20"/>
              </w:rPr>
              <w:t xml:space="preserve">, </w:t>
            </w:r>
            <w:hyperlink r:id="rId10">
              <w:r>
                <w:rPr>
                  <w:rStyle w:val="InternetLink"/>
                  <w:rFonts w:ascii="Times New Roman;Times;Serif" w:hAnsi="Times New Roman;Times;Serif"/>
                  <w:sz w:val="20"/>
                </w:rPr>
                <w:t>February 26, 2026</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April 7, 2026</w:t>
              </w:r>
            </w:hyperlink>
            <w:r>
              <w:rPr>
                <w:rFonts w:ascii="Times New Roman;Times;Serif" w:hAnsi="Times New Roman;Times;Serif"/>
                <w:sz w:val="20"/>
              </w:rPr>
              <w:t>, </w:t>
            </w:r>
            <w:hyperlink r:id="rId12">
              <w:r>
                <w:rPr>
                  <w:rStyle w:val="InternetLink"/>
                  <w:rFonts w:ascii="Times New Roman;Times;Serif" w:hAnsi="Times New Roman;Times;Serif"/>
                  <w:sz w:val="20"/>
                </w:rPr>
                <w:t>April 13, 2026</w:t>
              </w:r>
            </w:hyperlink>
            <w:r>
              <w:rPr>
                <w:rFonts w:ascii="Times New Roman;Times;Serif" w:hAnsi="Times New Roman;Times;Serif"/>
                <w:sz w:val="20"/>
              </w:rPr>
              <w:t xml:space="preserve">, </w:t>
            </w:r>
            <w:hyperlink r:id="rId13">
              <w:r>
                <w:rPr>
                  <w:rStyle w:val="InternetLink"/>
                  <w:rFonts w:ascii="Times New Roman;Times;Serif" w:hAnsi="Times New Roman;Times;Serif"/>
                  <w:sz w:val="20"/>
                </w:rPr>
                <w:t>May 13, 2026</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May 15, 2026</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May 20, 2026</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June 16, 2026</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June 30, 2026</w:t>
              </w:r>
            </w:hyperlink>
            <w:r>
              <w:rPr>
                <w:rFonts w:ascii="Times New Roman;Times;Serif" w:hAnsi="Times New Roman;Times;Serif"/>
                <w:sz w:val="20"/>
              </w:rPr>
              <w:t xml:space="preserve"> and </w:t>
            </w:r>
            <w:hyperlink r:id="rId18">
              <w:r>
                <w:rPr>
                  <w:rStyle w:val="InternetLink"/>
                  <w:rFonts w:ascii="Times New Roman;Times;Serif" w:hAnsi="Times New Roman;Times;Serif"/>
                  <w:sz w:val="20"/>
                </w:rPr>
                <w:t>July 14, 2026</w:t>
              </w:r>
            </w:hyperlink>
            <w:r>
              <w:rPr>
                <w:rFonts w:ascii="Times New Roman;Times;Serif" w:hAnsi="Times New Roman;Times;Serif"/>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90" w:type="dxa"/>
            <w:tcBorders/>
            <w:vAlign w:val="center"/>
          </w:tcPr>
          <w:p>
            <w:pPr>
              <w:pStyle w:val="TableContents"/>
              <w:bidi w:val="0"/>
              <w:spacing w:before="0" w:after="283"/>
              <w:jc w:val="left"/>
              <w:rPr/>
            </w:pPr>
            <w:r>
              <w:rPr>
                <w:rFonts w:ascii="Times New Roman;Times;Serif" w:hAnsi="Times New Roman;Times;Serif"/>
                <w:sz w:val="20"/>
              </w:rPr>
              <w:t>The description of the registrant’s common stock, par value $0.001 per share (the “Common Stock”) contained in the registrant’s Registration Statement on Form 8-A (File No. </w:t>
            </w:r>
            <w:hyperlink r:id="rId19">
              <w:r>
                <w:rPr>
                  <w:rStyle w:val="InternetLink"/>
                  <w:rFonts w:ascii="Times New Roman;Times;Serif" w:hAnsi="Times New Roman;Times;Serif"/>
                  <w:sz w:val="20"/>
                  <w:u w:val="single"/>
                </w:rPr>
                <w:t>001-37471</w:t>
              </w:r>
            </w:hyperlink>
            <w:r>
              <w:rPr>
                <w:rFonts w:ascii="Times New Roman;Times;Serif" w:hAnsi="Times New Roman;Times;Serif"/>
                <w:sz w:val="20"/>
              </w:rPr>
              <w:t>), filed by the registrant with the Commission under Section 12(b) of the Securities Exchange Act of 1934, as amended (the “Exchange Act”), on June 24, 2015, including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documents that the registrant subsequently files pursuant to Sections 13(a), 13(c), 14 and 15(d) of the Exchange Act prior to the filing of a post-effective amendment to this Registration Statement which indicates that all of the shares of Common Stock offered have been sold or which deregisters all of such shares then remaining unsold, shall be deemed to be incorporated by reference in this Registration Statement and to be a part hereof from the date of the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no circumstances will any information filed under current items 2.02 or 7.01 of Form 8-K be deemed incorporated herein by reference unless such Form 8-K expressly provides to the contrary.</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620"/>
        <w:gridCol w:w="830"/>
      </w:tblGrid>
      <w:tr>
        <w:trPr/>
        <w:tc>
          <w:tcPr>
            <w:tcW w:w="6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8.</w:t>
            </w:r>
          </w:p>
        </w:tc>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Exhibits.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
        <w:gridCol w:w="60"/>
        <w:gridCol w:w="9420"/>
      </w:tblGrid>
      <w:tr>
        <w:trPr/>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Number</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table</w:t>
            </w:r>
          </w:p>
        </w:tc>
      </w:tr>
      <w:tr>
        <w:trPr/>
        <w:tc>
          <w:tcPr>
            <w:tcW w:w="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r>
              <w:rPr/>
              <w:t> </w:t>
            </w:r>
          </w:p>
        </w:tc>
      </w:tr>
      <w:tr>
        <w:trPr/>
        <w:tc>
          <w:tcPr>
            <w:tcW w:w="725" w:type="dxa"/>
            <w:tcBorders/>
            <w:vAlign w:val="center"/>
          </w:tcPr>
          <w:p>
            <w:pPr>
              <w:pStyle w:val="TableContents"/>
              <w:bidi w:val="0"/>
              <w:spacing w:before="0" w:after="283"/>
              <w:jc w:val="left"/>
              <w:rPr/>
            </w:pPr>
            <w:hyperlink r:id="rId20">
              <w:r>
                <w:rPr>
                  <w:rStyle w:val="InternetLink"/>
                  <w:rFonts w:ascii="Times New Roman;Times;Serif" w:hAnsi="Times New Roman;Times;Serif"/>
                  <w:sz w:val="20"/>
                </w:rPr>
                <w:t>3.1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21">
              <w:r>
                <w:rPr>
                  <w:rStyle w:val="InternetLink"/>
                  <w:rFonts w:ascii="Times New Roman;Times;Serif" w:hAnsi="Times New Roman;Times;Serif"/>
                  <w:sz w:val="20"/>
                </w:rPr>
                <w:t xml:space="preserve">Amended and Restated Articles of Incorporation of the Registrant (incorporated by reference to Exhibit 3.1 to the registrant’s Current Report on Form 8-K (File No. 001-37471) filed with the Commission on December 18, 2014). </w:t>
              </w:r>
            </w:hyperlink>
          </w:p>
        </w:tc>
      </w:tr>
      <w:tr>
        <w:trPr/>
        <w:tc>
          <w:tcPr>
            <w:tcW w:w="725" w:type="dxa"/>
            <w:tcBorders/>
            <w:vAlign w:val="center"/>
          </w:tcPr>
          <w:p>
            <w:pPr>
              <w:pStyle w:val="TableContents"/>
              <w:bidi w:val="0"/>
              <w:spacing w:before="0" w:after="283"/>
              <w:jc w:val="left"/>
              <w:rPr/>
            </w:pPr>
            <w:hyperlink r:id="rId22">
              <w:r>
                <w:rPr>
                  <w:rStyle w:val="InternetLink"/>
                  <w:rFonts w:ascii="Times New Roman;Times;Serif" w:hAnsi="Times New Roman;Times;Serif"/>
                  <w:sz w:val="20"/>
                </w:rPr>
                <w:t>3.2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23">
              <w:r>
                <w:rPr>
                  <w:rStyle w:val="InternetLink"/>
                  <w:rFonts w:ascii="Times New Roman;Times;Serif" w:hAnsi="Times New Roman;Times;Serif"/>
                  <w:sz w:val="20"/>
                </w:rPr>
                <w:t>Certificate of Change to Amended and Restated Articles of Incorporation of the Registrant (incorporated by reference to Exhibit 3.1 to the registrant’s Current Report on Form 8-K (File No. 001-37471) filed with the Commission on April 18, 2024).</w:t>
              </w:r>
            </w:hyperlink>
          </w:p>
        </w:tc>
      </w:tr>
      <w:tr>
        <w:trPr/>
        <w:tc>
          <w:tcPr>
            <w:tcW w:w="725" w:type="dxa"/>
            <w:tcBorders/>
            <w:vAlign w:val="center"/>
          </w:tcPr>
          <w:p>
            <w:pPr>
              <w:pStyle w:val="TableContents"/>
              <w:bidi w:val="0"/>
              <w:spacing w:before="0" w:after="283"/>
              <w:jc w:val="left"/>
              <w:rPr/>
            </w:pPr>
            <w:hyperlink r:id="rId24">
              <w:r>
                <w:rPr>
                  <w:rStyle w:val="InternetLink"/>
                  <w:rFonts w:ascii="Times New Roman;Times;Serif" w:hAnsi="Times New Roman;Times;Serif"/>
                  <w:sz w:val="20"/>
                </w:rPr>
                <w:t>3.3</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25">
              <w:r>
                <w:rPr>
                  <w:rStyle w:val="InternetLink"/>
                  <w:rFonts w:ascii="Times New Roman;Times;Serif" w:hAnsi="Times New Roman;Times;Serif"/>
                  <w:sz w:val="20"/>
                </w:rPr>
                <w:t>Certificate of Amendment to the Amended and Restated Articles of Incorporation of the Registrant (incorporated by reference to Exhibit 3.1 to the registrant’s Current Report on Form 8-K (File No. 001-37471) filed with the Commission on December 12, 2024).</w:t>
              </w:r>
            </w:hyperlink>
          </w:p>
        </w:tc>
      </w:tr>
      <w:tr>
        <w:trPr/>
        <w:tc>
          <w:tcPr>
            <w:tcW w:w="725" w:type="dxa"/>
            <w:tcBorders/>
            <w:vAlign w:val="center"/>
          </w:tcPr>
          <w:p>
            <w:pPr>
              <w:pStyle w:val="TableContents"/>
              <w:bidi w:val="0"/>
              <w:spacing w:before="0" w:after="283"/>
              <w:jc w:val="left"/>
              <w:rPr/>
            </w:pPr>
            <w:hyperlink r:id="rId26">
              <w:r>
                <w:rPr>
                  <w:rStyle w:val="InternetLink"/>
                  <w:rFonts w:ascii="Times New Roman;Times;Serif" w:hAnsi="Times New Roman;Times;Serif"/>
                  <w:sz w:val="20"/>
                </w:rPr>
                <w:t>3.4</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27">
              <w:r>
                <w:rPr>
                  <w:rStyle w:val="InternetLink"/>
                  <w:rFonts w:ascii="Times New Roman;Times;Serif" w:hAnsi="Times New Roman;Times;Serif"/>
                  <w:sz w:val="20"/>
                </w:rPr>
                <w:t>Certificate of Amendment to the Amended and Restated Articles of Incorporation of the Registrant (incorporated by reference to Exhibit 3.11 to the registrant’s Current Report on Form 8-K (File No. 001-37471) filed with the Commission on December 16, 2024).</w:t>
              </w:r>
            </w:hyperlink>
          </w:p>
        </w:tc>
      </w:tr>
      <w:tr>
        <w:trPr/>
        <w:tc>
          <w:tcPr>
            <w:tcW w:w="725" w:type="dxa"/>
            <w:tcBorders/>
            <w:vAlign w:val="center"/>
          </w:tcPr>
          <w:p>
            <w:pPr>
              <w:pStyle w:val="TableContents"/>
              <w:bidi w:val="0"/>
              <w:spacing w:before="0" w:after="283"/>
              <w:jc w:val="left"/>
              <w:rPr/>
            </w:pPr>
            <w:hyperlink r:id="rId28">
              <w:r>
                <w:rPr>
                  <w:rStyle w:val="InternetLink"/>
                  <w:rFonts w:ascii="Times New Roman;Times;Serif" w:hAnsi="Times New Roman;Times;Serif"/>
                  <w:sz w:val="20"/>
                </w:rPr>
                <w:t>3.5</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29">
              <w:r>
                <w:rPr>
                  <w:rStyle w:val="InternetLink"/>
                  <w:rFonts w:ascii="Times New Roman;Times;Serif" w:hAnsi="Times New Roman;Times;Serif"/>
                  <w:sz w:val="20"/>
                </w:rPr>
                <w:t>Certificate of Withdrawal of the Series F Preferred Stock (incorporated by reference to Exhibit 3.10 to the Registrant’s Current Report on Form 8-K (File No. 001-37471) filed with the Commission on December 16, 2024).</w:t>
              </w:r>
            </w:hyperlink>
          </w:p>
        </w:tc>
      </w:tr>
      <w:tr>
        <w:trPr/>
        <w:tc>
          <w:tcPr>
            <w:tcW w:w="725" w:type="dxa"/>
            <w:tcBorders/>
            <w:vAlign w:val="center"/>
          </w:tcPr>
          <w:p>
            <w:pPr>
              <w:pStyle w:val="TableContents"/>
              <w:bidi w:val="0"/>
              <w:spacing w:before="0" w:after="283"/>
              <w:jc w:val="left"/>
              <w:rPr/>
            </w:pPr>
            <w:hyperlink r:id="rId30">
              <w:r>
                <w:rPr>
                  <w:rStyle w:val="InternetLink"/>
                  <w:rFonts w:ascii="Times New Roman;Times;Serif" w:hAnsi="Times New Roman;Times;Serif"/>
                  <w:sz w:val="20"/>
                </w:rPr>
                <w:t>3.6</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31">
              <w:r>
                <w:rPr>
                  <w:rStyle w:val="InternetLink"/>
                  <w:rFonts w:ascii="Times New Roman;Times;Serif" w:hAnsi="Times New Roman;Times;Serif"/>
                  <w:sz w:val="20"/>
                </w:rPr>
                <w:t>Amended and Restated Bylaws of the Registrant (incorporated by reference to Exhibit 3.2 to the Registrant’s Current Report on Form 8-K (File No. 001-37471) filed with the Commission on December 18, 2014).</w:t>
              </w:r>
            </w:hyperlink>
          </w:p>
        </w:tc>
      </w:tr>
      <w:tr>
        <w:trPr/>
        <w:tc>
          <w:tcPr>
            <w:tcW w:w="725" w:type="dxa"/>
            <w:tcBorders/>
            <w:vAlign w:val="center"/>
          </w:tcPr>
          <w:p>
            <w:pPr>
              <w:pStyle w:val="TableContents"/>
              <w:bidi w:val="0"/>
              <w:spacing w:before="0" w:after="283"/>
              <w:jc w:val="left"/>
              <w:rPr/>
            </w:pPr>
            <w:hyperlink r:id="rId32">
              <w:r>
                <w:rPr>
                  <w:rStyle w:val="InternetLink"/>
                  <w:rFonts w:ascii="Times New Roman;Times;Serif" w:hAnsi="Times New Roman;Times;Serif"/>
                  <w:sz w:val="20"/>
                </w:rPr>
                <w:t>3.7</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33">
              <w:r>
                <w:rPr>
                  <w:rStyle w:val="InternetLink"/>
                  <w:rFonts w:ascii="Times New Roman;Times;Serif" w:hAnsi="Times New Roman;Times;Serif"/>
                  <w:sz w:val="20"/>
                </w:rPr>
                <w:t>Amendment to the Amended and Restated Bylaws of the Registrant (incorporated by reference to Exhibit 3.1 to the Registrant’s Current Report on Form 8-K (File No. 001-37471) filed with the Commission on September 3, 2019).</w:t>
              </w:r>
            </w:hyperlink>
          </w:p>
        </w:tc>
      </w:tr>
      <w:tr>
        <w:trPr/>
        <w:tc>
          <w:tcPr>
            <w:tcW w:w="725" w:type="dxa"/>
            <w:tcBorders/>
            <w:vAlign w:val="center"/>
          </w:tcPr>
          <w:p>
            <w:pPr>
              <w:pStyle w:val="TableContents"/>
              <w:bidi w:val="0"/>
              <w:spacing w:before="0" w:after="283"/>
              <w:jc w:val="left"/>
              <w:rPr/>
            </w:pPr>
            <w:hyperlink r:id="rId34">
              <w:r>
                <w:rPr>
                  <w:rStyle w:val="InternetLink"/>
                  <w:rFonts w:ascii="Times New Roman;Times;Serif" w:hAnsi="Times New Roman;Times;Serif"/>
                  <w:sz w:val="20"/>
                </w:rPr>
                <w:t>4.1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35">
              <w:r>
                <w:rPr>
                  <w:rStyle w:val="InternetLink"/>
                  <w:rFonts w:ascii="Times New Roman;Times;Serif" w:hAnsi="Times New Roman;Times;Serif"/>
                  <w:sz w:val="20"/>
                </w:rPr>
                <w:t>Form of Common Stock Certificate (incorporated by reference to Exhibit 4.1 to the Registrant’s Current Report on Form 8-K (File No. 001-37471) filed with the Commission on December 16, 2024).</w:t>
              </w:r>
            </w:hyperlink>
          </w:p>
        </w:tc>
      </w:tr>
      <w:tr>
        <w:trPr/>
        <w:tc>
          <w:tcPr>
            <w:tcW w:w="725" w:type="dxa"/>
            <w:tcBorders/>
            <w:vAlign w:val="center"/>
          </w:tcPr>
          <w:p>
            <w:pPr>
              <w:pStyle w:val="TableContents"/>
              <w:bidi w:val="0"/>
              <w:spacing w:before="0" w:after="283"/>
              <w:jc w:val="left"/>
              <w:rPr/>
            </w:pPr>
            <w:hyperlink w:anchor="tm2620114d1_ex5-1.htm">
              <w:r>
                <w:rPr>
                  <w:rStyle w:val="InternetLink"/>
                  <w:rFonts w:ascii="Times New Roman;Times;Serif" w:hAnsi="Times New Roman;Times;Serif"/>
                  <w:sz w:val="20"/>
                </w:rPr>
                <w:t>5.1*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114d1_ex5-1.htm">
              <w:r>
                <w:rPr>
                  <w:rStyle w:val="InternetLink"/>
                  <w:rFonts w:ascii="Times New Roman;Times;Serif" w:hAnsi="Times New Roman;Times;Serif"/>
                  <w:sz w:val="20"/>
                </w:rPr>
                <w:t>Opinion of Brownstein Hyatt Farber Schreck, LLP.</w:t>
              </w:r>
            </w:hyperlink>
          </w:p>
        </w:tc>
      </w:tr>
      <w:tr>
        <w:trPr/>
        <w:tc>
          <w:tcPr>
            <w:tcW w:w="725" w:type="dxa"/>
            <w:tcBorders/>
            <w:vAlign w:val="center"/>
          </w:tcPr>
          <w:p>
            <w:pPr>
              <w:pStyle w:val="TableContents"/>
              <w:bidi w:val="0"/>
              <w:spacing w:before="0" w:after="283"/>
              <w:jc w:val="left"/>
              <w:rPr/>
            </w:pPr>
            <w:hyperlink w:anchor="tm2620114d1_ex23-1.htm">
              <w:r>
                <w:rPr>
                  <w:rStyle w:val="InternetLink"/>
                  <w:rFonts w:ascii="Times New Roman;Times;Serif" w:hAnsi="Times New Roman;Times;Serif"/>
                  <w:sz w:val="20"/>
                </w:rPr>
                <w:t>23.1*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114d1_ex23-1.htm">
              <w:r>
                <w:rPr>
                  <w:rStyle w:val="InternetLink"/>
                  <w:rFonts w:ascii="Times New Roman;Times;Serif" w:hAnsi="Times New Roman;Times;Serif"/>
                  <w:sz w:val="20"/>
                </w:rPr>
                <w:t>Consent of Ernst &amp; Young LLP, Independent Registered Public Accounting Firm.</w:t>
              </w:r>
            </w:hyperlink>
          </w:p>
        </w:tc>
      </w:tr>
      <w:tr>
        <w:trPr/>
        <w:tc>
          <w:tcPr>
            <w:tcW w:w="725" w:type="dxa"/>
            <w:tcBorders/>
            <w:vAlign w:val="center"/>
          </w:tcPr>
          <w:p>
            <w:pPr>
              <w:pStyle w:val="TableContents"/>
              <w:bidi w:val="0"/>
              <w:spacing w:before="0" w:after="283"/>
              <w:jc w:val="left"/>
              <w:rPr/>
            </w:pPr>
            <w:hyperlink w:anchor="tm2620114d1_ex5-1.htm">
              <w:r>
                <w:rPr>
                  <w:rStyle w:val="InternetLink"/>
                  <w:rFonts w:ascii="Times New Roman;Times;Serif" w:hAnsi="Times New Roman;Times;Serif"/>
                  <w:sz w:val="20"/>
                </w:rPr>
                <w:t>23.2*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114d1_ex5-1.htm">
              <w:r>
                <w:rPr>
                  <w:rStyle w:val="InternetLink"/>
                  <w:rFonts w:ascii="Times New Roman;Times;Serif" w:hAnsi="Times New Roman;Times;Serif"/>
                  <w:sz w:val="20"/>
                </w:rPr>
                <w:t>Consent of Brownstein Hyatt Farber Schreck, LLP (included in Exhibit 5.1).</w:t>
              </w:r>
            </w:hyperlink>
          </w:p>
        </w:tc>
      </w:tr>
      <w:tr>
        <w:trPr/>
        <w:tc>
          <w:tcPr>
            <w:tcW w:w="725" w:type="dxa"/>
            <w:tcBorders/>
            <w:vAlign w:val="center"/>
          </w:tcPr>
          <w:p>
            <w:pPr>
              <w:pStyle w:val="TableContents"/>
              <w:bidi w:val="0"/>
              <w:spacing w:before="0" w:after="283"/>
              <w:jc w:val="left"/>
              <w:rPr/>
            </w:pPr>
            <w:hyperlink w:anchor="ss_001">
              <w:r>
                <w:rPr>
                  <w:rStyle w:val="InternetLink"/>
                  <w:rFonts w:ascii="Times New Roman;Times;Serif" w:hAnsi="Times New Roman;Times;Serif"/>
                  <w:sz w:val="20"/>
                </w:rPr>
                <w:t>24.1*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ss_001">
              <w:r>
                <w:rPr>
                  <w:rStyle w:val="InternetLink"/>
                  <w:rFonts w:ascii="Times New Roman;Times;Serif" w:hAnsi="Times New Roman;Times;Serif"/>
                  <w:sz w:val="20"/>
                </w:rPr>
                <w:t>Power of Attorney (included on signature page).</w:t>
              </w:r>
            </w:hyperlink>
          </w:p>
        </w:tc>
      </w:tr>
      <w:tr>
        <w:trPr/>
        <w:tc>
          <w:tcPr>
            <w:tcW w:w="725" w:type="dxa"/>
            <w:tcBorders/>
            <w:vAlign w:val="center"/>
          </w:tcPr>
          <w:p>
            <w:pPr>
              <w:pStyle w:val="TableContents"/>
              <w:bidi w:val="0"/>
              <w:spacing w:before="0" w:after="283"/>
              <w:jc w:val="left"/>
              <w:rPr/>
            </w:pPr>
            <w:hyperlink r:id="rId36">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37">
              <w:r>
                <w:rPr>
                  <w:rStyle w:val="InternetLink"/>
                  <w:rFonts w:ascii="Times New Roman;Times;Serif" w:hAnsi="Times New Roman;Times;Serif"/>
                  <w:sz w:val="20"/>
                </w:rPr>
                <w:t>Palvella Therapeutics, Inc. 2024 Equity Incentive Plan (incorporated by reference to Exhibit 10.1 to the Registrant’s Current Report on Form 8-K (File No. 001-37471) as filed with the Commission on December 12, 2024).</w:t>
              </w:r>
            </w:hyperlink>
          </w:p>
        </w:tc>
      </w:tr>
      <w:tr>
        <w:trPr/>
        <w:tc>
          <w:tcPr>
            <w:tcW w:w="725" w:type="dxa"/>
            <w:tcBorders/>
            <w:vAlign w:val="center"/>
          </w:tcPr>
          <w:p>
            <w:pPr>
              <w:pStyle w:val="TableContents"/>
              <w:bidi w:val="0"/>
              <w:spacing w:before="0" w:after="283"/>
              <w:jc w:val="left"/>
              <w:rPr/>
            </w:pPr>
            <w:hyperlink r:id="rId38">
              <w:r>
                <w:rPr>
                  <w:rStyle w:val="InternetLink"/>
                  <w:rFonts w:ascii="Times New Roman;Times;Serif" w:hAnsi="Times New Roman;Times;Serif"/>
                  <w:sz w:val="20"/>
                </w:rPr>
                <w:t>99.2#</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39">
              <w:r>
                <w:rPr>
                  <w:rStyle w:val="InternetLink"/>
                  <w:rFonts w:ascii="Times New Roman;Times;Serif" w:hAnsi="Times New Roman;Times;Serif"/>
                  <w:sz w:val="20"/>
                </w:rPr>
                <w:t>Amendment No. 1 to Palvella Therapeutics, Inc. 2024 Equity Incentive Plan (incorporated by reference to Exhibit 10.1 to the Registrant’s Current Report on Form 8-K (File No. 001-37471) filed with the Commission on June 16, 2026).</w:t>
              </w:r>
            </w:hyperlink>
          </w:p>
        </w:tc>
      </w:tr>
      <w:tr>
        <w:trPr/>
        <w:tc>
          <w:tcPr>
            <w:tcW w:w="725" w:type="dxa"/>
            <w:tcBorders/>
            <w:vAlign w:val="center"/>
          </w:tcPr>
          <w:p>
            <w:pPr>
              <w:pStyle w:val="TableContents"/>
              <w:bidi w:val="0"/>
              <w:spacing w:before="0" w:after="283"/>
              <w:jc w:val="left"/>
              <w:rPr/>
            </w:pPr>
            <w:hyperlink r:id="rId40">
              <w:r>
                <w:rPr>
                  <w:rStyle w:val="InternetLink"/>
                  <w:rFonts w:ascii="Times New Roman;Times;Serif" w:hAnsi="Times New Roman;Times;Serif"/>
                  <w:sz w:val="20"/>
                </w:rPr>
                <w:t>99.3#</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41">
              <w:r>
                <w:rPr>
                  <w:rStyle w:val="InternetLink"/>
                  <w:rFonts w:ascii="Times New Roman;Times;Serif" w:hAnsi="Times New Roman;Times;Serif"/>
                  <w:sz w:val="20"/>
                </w:rPr>
                <w:t>Form of Stock Option Grant Notice and Stock Option Agreement under the Palvella Therapeutics, Inc. 2024 Equity Incentive Plan (incorporated by reference to Exhibit 10.29 to the Registrant’s Current Report on Form 8-K (File No. 001-37471) filed with the Commission on December 16, 2024).</w:t>
              </w:r>
            </w:hyperlink>
          </w:p>
        </w:tc>
      </w:tr>
      <w:tr>
        <w:trPr/>
        <w:tc>
          <w:tcPr>
            <w:tcW w:w="725" w:type="dxa"/>
            <w:tcBorders/>
            <w:vAlign w:val="center"/>
          </w:tcPr>
          <w:p>
            <w:pPr>
              <w:pStyle w:val="TableContents"/>
              <w:bidi w:val="0"/>
              <w:spacing w:before="0" w:after="283"/>
              <w:jc w:val="left"/>
              <w:rPr/>
            </w:pPr>
            <w:hyperlink r:id="rId42">
              <w:r>
                <w:rPr>
                  <w:rStyle w:val="InternetLink"/>
                  <w:rFonts w:ascii="Times New Roman;Times;Serif" w:hAnsi="Times New Roman;Times;Serif"/>
                  <w:sz w:val="20"/>
                </w:rPr>
                <w:t>99.4#</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43">
              <w:r>
                <w:rPr>
                  <w:rStyle w:val="InternetLink"/>
                  <w:rFonts w:ascii="Times New Roman;Times;Serif" w:hAnsi="Times New Roman;Times;Serif"/>
                  <w:sz w:val="20"/>
                </w:rPr>
                <w:t>Form of Notice of Grant of Restricted Stock Unit Award under the Palvella Therapeutics, Inc. 2024 Equity Incentive Plan (incorporated by reference to Exhibit 10.30 to the Registrant’s Current Report on Form 8-K (File No. 001-37471) filed with the Commission on December 16, 2024).</w:t>
              </w:r>
            </w:hyperlink>
          </w:p>
        </w:tc>
      </w:tr>
      <w:tr>
        <w:trPr/>
        <w:tc>
          <w:tcPr>
            <w:tcW w:w="725" w:type="dxa"/>
            <w:tcBorders/>
            <w:vAlign w:val="center"/>
          </w:tcPr>
          <w:p>
            <w:pPr>
              <w:pStyle w:val="TableContents"/>
              <w:bidi w:val="0"/>
              <w:spacing w:before="0" w:after="283"/>
              <w:jc w:val="left"/>
              <w:rPr/>
            </w:pPr>
            <w:hyperlink r:id="rId44">
              <w:r>
                <w:rPr>
                  <w:rStyle w:val="InternetLink"/>
                  <w:rFonts w:ascii="Times New Roman;Times;Serif" w:hAnsi="Times New Roman;Times;Serif"/>
                  <w:sz w:val="20"/>
                </w:rPr>
                <w:t>99.5#</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r:id="rId45">
              <w:r>
                <w:rPr>
                  <w:rStyle w:val="InternetLink"/>
                  <w:rFonts w:ascii="Times New Roman;Times;Serif" w:hAnsi="Times New Roman;Times;Serif"/>
                  <w:sz w:val="20"/>
                </w:rPr>
                <w:t>Form of Notice of Grant of Performance-Based Restricted Stock Unit Award under the Palvella Therapeutics, Inc. 2024 Equity Incentive Plan (incorporated by reference to Exhibit 10.2 of the Registrant’s Quarterly Report on Form 10-Q (File No. 001-37471) filed with the Commission on August 4, 2026).</w:t>
              </w:r>
            </w:hyperlink>
          </w:p>
        </w:tc>
      </w:tr>
      <w:tr>
        <w:trPr/>
        <w:tc>
          <w:tcPr>
            <w:tcW w:w="725" w:type="dxa"/>
            <w:tcBorders/>
            <w:vAlign w:val="center"/>
          </w:tcPr>
          <w:p>
            <w:pPr>
              <w:pStyle w:val="TableContents"/>
              <w:bidi w:val="0"/>
              <w:spacing w:before="0" w:after="283"/>
              <w:jc w:val="left"/>
              <w:rPr/>
            </w:pPr>
            <w:hyperlink w:anchor="tm2620114d1_ex-filingfees.htm">
              <w:r>
                <w:rPr>
                  <w:rStyle w:val="InternetLink"/>
                  <w:rFonts w:ascii="Times New Roman;Times;Serif" w:hAnsi="Times New Roman;Times;Serif"/>
                  <w:sz w:val="20"/>
                </w:rPr>
                <w:t>107*</w:t>
              </w:r>
            </w:hyperlink>
          </w:p>
        </w:tc>
        <w:tc>
          <w:tcPr>
            <w:tcW w:w="60" w:type="dxa"/>
            <w:tcBorders/>
            <w:vAlign w:val="center"/>
          </w:tcPr>
          <w:p>
            <w:pPr>
              <w:pStyle w:val="TableContents"/>
              <w:bidi w:val="0"/>
              <w:spacing w:before="0" w:after="283"/>
              <w:jc w:val="left"/>
              <w:rPr/>
            </w:pPr>
            <w:r>
              <w:rPr/>
              <w:t> </w:t>
            </w:r>
          </w:p>
        </w:tc>
        <w:tc>
          <w:tcPr>
            <w:tcW w:w="9420" w:type="dxa"/>
            <w:tcBorders/>
            <w:vAlign w:val="center"/>
          </w:tcPr>
          <w:p>
            <w:pPr>
              <w:pStyle w:val="TableContents"/>
              <w:bidi w:val="0"/>
              <w:spacing w:before="0" w:after="283"/>
              <w:jc w:val="left"/>
              <w:rPr/>
            </w:pPr>
            <w:hyperlink w:anchor="tm2620114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left"/>
        <w:rPr>
          <w:caps w:val="false"/>
          <w:smallCaps w:val="false"/>
        </w:rPr>
      </w:pPr>
      <w:r>
        <w:rPr>
          <w:caps w:val="false"/>
          <w:smallCaps w:val="false"/>
        </w:rPr>
        <w:t> </w:t>
      </w:r>
    </w:p>
    <w:tbl>
      <w:tblPr>
        <w:tblW w:w="5725" w:type="dxa"/>
        <w:jc w:val="left"/>
        <w:tblInd w:w="0" w:type="dxa"/>
        <w:tblLayout w:type="fixed"/>
        <w:tblCellMar>
          <w:top w:w="0" w:type="dxa"/>
          <w:left w:w="0" w:type="dxa"/>
          <w:bottom w:w="0" w:type="dxa"/>
          <w:right w:w="0" w:type="dxa"/>
        </w:tblCellMar>
      </w:tblPr>
      <w:tblGrid>
        <w:gridCol w:w="140"/>
        <w:gridCol w:w="558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Filed herewith.</w:t>
            </w:r>
          </w:p>
        </w:tc>
      </w:tr>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5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Denotes management contract or compensatory plan or 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s_001"/>
      <w:bookmarkEnd w:id="2"/>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Wayne, Commonwealth of Pennsylvania, on this 4th day of August, 2026.</w:t>
      </w:r>
    </w:p>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320"/>
        <w:gridCol w:w="3590"/>
      </w:tblGrid>
      <w:tr>
        <w:trPr/>
        <w:tc>
          <w:tcPr>
            <w:tcW w:w="75" w:type="dxa"/>
            <w:tcBorders/>
            <w:vAlign w:val="center"/>
          </w:tcPr>
          <w:p>
            <w:pPr>
              <w:pStyle w:val="TableContents"/>
              <w:bidi w:val="0"/>
              <w:spacing w:before="0" w:after="283"/>
              <w:jc w:val="left"/>
              <w:rPr/>
            </w:pPr>
            <w:r>
              <w:rPr/>
              <w:t> </w:t>
            </w:r>
          </w:p>
        </w:tc>
        <w:tc>
          <w:tcPr>
            <w:tcW w:w="391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Palvella Therapeutics,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5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Wesley H. Kaupinen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Wesley H. Kaupinen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President and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POWER OF ATTORNEY AND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BY THESE PRESENT, that each individual whose signature appears below hereby constitutes and appoints each of Wesley H. Kaupinen and Matthew E. Korenberg,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and to file the same, with all exhibits thereto, and all documents in connection therewith, with the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 in the capacities and on the date indicated.</w:t>
      </w:r>
    </w:p>
    <w:p>
      <w:pPr>
        <w:pStyle w:val="TextBody"/>
        <w:bidi w:val="0"/>
        <w:spacing w:before="0" w:after="0"/>
        <w:ind w:left="0" w:right="0" w:hanging="0"/>
        <w:jc w:val="left"/>
        <w:rPr>
          <w:caps w:val="false"/>
          <w:smallCaps w:val="false"/>
        </w:rPr>
      </w:pPr>
      <w:r>
        <w:rPr>
          <w:caps w:val="false"/>
          <w:smallCaps w:val="false"/>
        </w:rPr>
        <w:t> </w:t>
      </w:r>
    </w:p>
    <w:tbl>
      <w:tblPr>
        <w:tblW w:w="8910" w:type="dxa"/>
        <w:jc w:val="left"/>
        <w:tblInd w:w="0" w:type="dxa"/>
        <w:tblLayout w:type="fixed"/>
        <w:tblCellMar>
          <w:top w:w="0" w:type="dxa"/>
          <w:left w:w="0" w:type="dxa"/>
          <w:bottom w:w="0" w:type="dxa"/>
          <w:right w:w="0" w:type="dxa"/>
        </w:tblCellMar>
      </w:tblPr>
      <w:tblGrid>
        <w:gridCol w:w="2495"/>
        <w:gridCol w:w="60"/>
        <w:gridCol w:w="5015"/>
        <w:gridCol w:w="60"/>
        <w:gridCol w:w="1280"/>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495" w:type="dxa"/>
            <w:tcBorders/>
            <w:vAlign w:val="center"/>
          </w:tcPr>
          <w:p>
            <w:pPr>
              <w:pStyle w:val="TableContents"/>
              <w:bidi w:val="0"/>
              <w:spacing w:before="0" w:after="283"/>
              <w:jc w:val="left"/>
              <w:rPr/>
            </w:pPr>
            <w:r>
              <w:rPr/>
              <w:t> </w:t>
            </w:r>
          </w:p>
        </w:tc>
        <w:tc>
          <w:tcPr>
            <w:tcW w:w="5075"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Wesley H. Kaupinen</w:t>
            </w:r>
          </w:p>
        </w:tc>
        <w:tc>
          <w:tcPr>
            <w:tcW w:w="60" w:type="dxa"/>
            <w:tcBorders/>
            <w:vAlign w:val="center"/>
          </w:tcPr>
          <w:p>
            <w:pPr>
              <w:pStyle w:val="TableContents"/>
              <w:bidi w:val="0"/>
              <w:spacing w:before="0" w:after="283"/>
              <w:ind w:left="0" w:right="0" w:hanging="200"/>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Chief Executive Officer and 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Wesley H. Kaupinen</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Executive Officer)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left"/>
              <w:rPr/>
            </w:pPr>
            <w:r>
              <w:rPr/>
              <w:t> </w:t>
            </w:r>
          </w:p>
        </w:tc>
        <w:tc>
          <w:tcPr>
            <w:tcW w:w="5075"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Matthew E. Korenberg</w:t>
            </w:r>
          </w:p>
        </w:tc>
        <w:tc>
          <w:tcPr>
            <w:tcW w:w="60" w:type="dxa"/>
            <w:tcBorders/>
            <w:vAlign w:val="center"/>
          </w:tcPr>
          <w:p>
            <w:pPr>
              <w:pStyle w:val="TableContents"/>
              <w:bidi w:val="0"/>
              <w:spacing w:before="0" w:after="283"/>
              <w:ind w:left="0" w:right="0" w:hanging="200"/>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Treasurer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Matthew E. Korenberg</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(Principal Financial Officer and Principal Accounting Officer)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left"/>
              <w:rPr/>
            </w:pPr>
            <w:r>
              <w:rPr/>
              <w:t> </w:t>
            </w:r>
          </w:p>
        </w:tc>
        <w:tc>
          <w:tcPr>
            <w:tcW w:w="5075"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George M. Jenkins</w:t>
            </w:r>
          </w:p>
        </w:tc>
        <w:tc>
          <w:tcPr>
            <w:tcW w:w="60" w:type="dxa"/>
            <w:tcBorders/>
            <w:vAlign w:val="center"/>
          </w:tcPr>
          <w:p>
            <w:pPr>
              <w:pStyle w:val="TableContents"/>
              <w:bidi w:val="0"/>
              <w:spacing w:before="0" w:after="283"/>
              <w:ind w:left="0" w:right="0" w:hanging="200"/>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Chairman of the Board of Directors</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George M. Jenkins</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left"/>
              <w:rPr/>
            </w:pPr>
            <w:r>
              <w:rPr/>
              <w:t> </w:t>
            </w:r>
          </w:p>
        </w:tc>
        <w:tc>
          <w:tcPr>
            <w:tcW w:w="5075"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Todd C. Davis</w:t>
            </w:r>
          </w:p>
        </w:tc>
        <w:tc>
          <w:tcPr>
            <w:tcW w:w="60" w:type="dxa"/>
            <w:tcBorders/>
            <w:vAlign w:val="center"/>
          </w:tcPr>
          <w:p>
            <w:pPr>
              <w:pStyle w:val="TableContents"/>
              <w:bidi w:val="0"/>
              <w:spacing w:before="0" w:after="283"/>
              <w:ind w:left="0" w:right="0" w:hanging="200"/>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Todd C. Davis</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left"/>
              <w:rPr/>
            </w:pPr>
            <w:r>
              <w:rPr/>
              <w:t> </w:t>
            </w:r>
          </w:p>
        </w:tc>
        <w:tc>
          <w:tcPr>
            <w:tcW w:w="5075"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Elaine J. Heron, Ph D.</w:t>
            </w:r>
          </w:p>
        </w:tc>
        <w:tc>
          <w:tcPr>
            <w:tcW w:w="60" w:type="dxa"/>
            <w:tcBorders/>
            <w:vAlign w:val="center"/>
          </w:tcPr>
          <w:p>
            <w:pPr>
              <w:pStyle w:val="TableContents"/>
              <w:bidi w:val="0"/>
              <w:spacing w:before="0" w:after="283"/>
              <w:ind w:left="0" w:right="0" w:hanging="200"/>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Elaine J. Heron, Ph D.</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left"/>
              <w:rPr/>
            </w:pPr>
            <w:r>
              <w:rPr/>
              <w:t> </w:t>
            </w:r>
          </w:p>
        </w:tc>
        <w:tc>
          <w:tcPr>
            <w:tcW w:w="5075" w:type="dxa"/>
            <w:gridSpan w:val="2"/>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left"/>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Christopher Kiritsy</w:t>
            </w:r>
          </w:p>
        </w:tc>
        <w:tc>
          <w:tcPr>
            <w:tcW w:w="60" w:type="dxa"/>
            <w:tcBorders/>
            <w:vAlign w:val="center"/>
          </w:tcPr>
          <w:p>
            <w:pPr>
              <w:pStyle w:val="TableContents"/>
              <w:bidi w:val="0"/>
              <w:spacing w:before="0" w:after="283"/>
              <w:ind w:left="0" w:right="0" w:hanging="200"/>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Christopher Kiritsy</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Tadd S. Wessel</w:t>
            </w:r>
          </w:p>
        </w:tc>
        <w:tc>
          <w:tcPr>
            <w:tcW w:w="60" w:type="dxa"/>
            <w:tcBorders/>
            <w:vAlign w:val="center"/>
          </w:tcPr>
          <w:p>
            <w:pPr>
              <w:pStyle w:val="TableContents"/>
              <w:bidi w:val="0"/>
              <w:spacing w:before="0" w:after="283"/>
              <w:ind w:left="0" w:right="0" w:hanging="200"/>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Tadd S. Wessel</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John Doux, M.D., M.B.A</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John Doux, M.D., M.B.A</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r>
        <w:trPr/>
        <w:tc>
          <w:tcPr>
            <w:tcW w:w="24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Matthew Pauls, J.D., M.B.A</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August 4, 2026</w:t>
            </w:r>
          </w:p>
        </w:tc>
      </w:tr>
      <w:tr>
        <w:trPr/>
        <w:tc>
          <w:tcPr>
            <w:tcW w:w="24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Matthew Pauls, J.D., M.B.A</w:t>
            </w:r>
          </w:p>
        </w:tc>
        <w:tc>
          <w:tcPr>
            <w:tcW w:w="60" w:type="dxa"/>
            <w:tcBorders/>
            <w:vAlign w:val="center"/>
          </w:tcPr>
          <w:p>
            <w:pPr>
              <w:pStyle w:val="TableContents"/>
              <w:bidi w:val="0"/>
              <w:spacing w:before="0" w:after="283"/>
              <w:jc w:val="left"/>
              <w:rPr/>
            </w:pPr>
            <w:r>
              <w:rPr/>
              <w:t> </w:t>
            </w:r>
          </w:p>
        </w:tc>
        <w:tc>
          <w:tcPr>
            <w:tcW w:w="50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3" w:name="tm2620114d1_ex5-1.htm"/>
      <w:bookmarkStart w:id="4" w:name="kstm2620114d1_ex51"/>
      <w:bookmarkEnd w:id="3"/>
      <w:bookmarkEnd w:id="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right"/>
        <w:rPr>
          <w:caps w:val="false"/>
          <w:smallCaps w:val="false"/>
        </w:rPr>
      </w:pPr>
      <w:r>
        <w:rPr>
          <w:caps w:val="false"/>
          <w:smallCaps w:val="false"/>
        </w:rPr>
        <w:t> </w:t>
      </w:r>
    </w:p>
    <w:tbl>
      <w:tblPr>
        <w:tblW w:w="7760" w:type="dxa"/>
        <w:jc w:val="left"/>
        <w:tblInd w:w="0" w:type="dxa"/>
        <w:tblLayout w:type="fixed"/>
        <w:tblCellMar>
          <w:top w:w="0" w:type="dxa"/>
          <w:left w:w="0" w:type="dxa"/>
          <w:bottom w:w="0" w:type="dxa"/>
          <w:right w:w="0" w:type="dxa"/>
        </w:tblCellMar>
      </w:tblPr>
      <w:tblGrid>
        <w:gridCol w:w="3660"/>
        <w:gridCol w:w="4100"/>
      </w:tblGrid>
      <w:tr>
        <w:trPr/>
        <w:tc>
          <w:tcPr>
            <w:tcW w:w="3660" w:type="dxa"/>
            <w:tcBorders/>
            <w:vAlign w:val="center"/>
          </w:tcPr>
          <w:p>
            <w:pPr>
              <w:pStyle w:val="TableContents"/>
              <w:bidi w:val="0"/>
              <w:spacing w:before="0" w:after="283"/>
              <w:jc w:val="left"/>
              <w:rPr/>
            </w:pPr>
            <w:r>
              <w:rPr/>
              <w:drawing>
                <wp:inline distT="0" distB="0" distL="0" distR="0">
                  <wp:extent cx="23145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6"/>
                          <a:stretch>
                            <a:fillRect/>
                          </a:stretch>
                        </pic:blipFill>
                        <pic:spPr bwMode="auto">
                          <a:xfrm>
                            <a:off x="0" y="0"/>
                            <a:ext cx="2314575" cy="419100"/>
                          </a:xfrm>
                          <a:prstGeom prst="rect">
                            <a:avLst/>
                          </a:prstGeom>
                        </pic:spPr>
                      </pic:pic>
                    </a:graphicData>
                  </a:graphic>
                </wp:inline>
              </w:drawing>
            </w:r>
          </w:p>
        </w:tc>
        <w:tc>
          <w:tcPr>
            <w:tcW w:w="4100" w:type="dxa"/>
            <w:tcBorders/>
            <w:vAlign w:val="center"/>
          </w:tcPr>
          <w:p>
            <w:pPr>
              <w:pStyle w:val="TableContents"/>
              <w:bidi w:val="0"/>
              <w:jc w:val="both"/>
              <w:rPr>
                <w:b/>
              </w:rPr>
            </w:pPr>
            <w:r>
              <w:rPr>
                <w:b/>
              </w:rPr>
              <w:t>Brownstein Hyatt Farber Schreck, LLP</w:t>
            </w:r>
          </w:p>
          <w:p>
            <w:pPr>
              <w:pStyle w:val="TableContents"/>
              <w:bidi w:val="0"/>
              <w:jc w:val="both"/>
              <w:rPr/>
            </w:pPr>
            <w:r>
              <w:rPr/>
              <w:t> </w:t>
            </w:r>
          </w:p>
          <w:p>
            <w:pPr>
              <w:pStyle w:val="TableContents"/>
              <w:bidi w:val="0"/>
              <w:jc w:val="both"/>
              <w:rPr/>
            </w:pPr>
            <w:r>
              <w:rPr/>
              <w:t>702.382.2101 main</w:t>
            </w:r>
          </w:p>
          <w:p>
            <w:pPr>
              <w:pStyle w:val="TableContents"/>
              <w:bidi w:val="0"/>
              <w:jc w:val="both"/>
              <w:rPr/>
            </w:pPr>
            <w:r>
              <w:rPr/>
              <w:t>100 North City Parkway, Suite 1600</w:t>
            </w:r>
          </w:p>
          <w:p>
            <w:pPr>
              <w:pStyle w:val="TableContents"/>
              <w:bidi w:val="0"/>
              <w:spacing w:before="0" w:after="283"/>
              <w:jc w:val="both"/>
              <w:rPr/>
            </w:pPr>
            <w:r>
              <w:rPr/>
              <w:t>Las Vegas, Nevada 89106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Palvella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 W. Lancaster Ave., Suite 200</w:t>
        <w:br/>
        <w:t>Wayne, PA 19087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addressee set forth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local Nevada counsel to Palvella Therapeutics,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filing by the Company of a Registration Statement on Form S-8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Act</w:t>
      </w:r>
      <w:r>
        <w:rPr>
          <w:rFonts w:ascii="Times New Roman;Times;Serif" w:hAnsi="Times New Roman;Times;Serif"/>
          <w:b w:val="false"/>
          <w:i w:val="false"/>
          <w:caps w:val="false"/>
          <w:smallCaps w:val="false"/>
          <w:sz w:val="20"/>
        </w:rPr>
        <w:t>”), relating to the registration of an additional 750,000 shares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of the Company’s common stock, par value $0.001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issuable under the Palvella Therapeutics, Inc. 2024 Equity Incentive Plan, as amended by Amendment No. 1 to Palvella Therapeutics, Inc. 2024 Equity Incentive Plan (as so amended,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This opinion letter is being delivered at your request pursuant to the requirements of Item 601(b)(5) of Regulation S-K under the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such counsel, we are familiar with the proceedings taken and proposed to be taken by the Company in connection with the authorization and issuance of the Shares as contemplated by the Plan and as described in the Registration Statement. For purposes of this opinion letter, and except to the extent set forth in the opinion expressed below, we have assumed that all such proceedings have been or will be timely completed in the manner contemplated by the Plan, and as presently proposed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issuing this opinion letter, we have (a) made such legal and factual examinations and inquiries, including an examination of originals or copies certified or otherwise identified to our satisfaction as being true copies of (i) the Registration Statement, (ii) the Plan, (iii) the Company’s articles of incorporation and bylaws, each as amended to date, and (iv) such other agreements, instruments, corporate records (including resolutions of the board of directors and any committee thereof and the stockholders of the Company) and other documents, or forms thereof, as we have deemed necessary or appropriate, and (b) obtained from officers and other representatives and agents of the Company and from public officials, and have relied upon, such certificates, representations, assurances and public filings as we have deemed necessary or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limiting the generality of the foregoing, we have, with your permission, assumed without independent verification that (i) each natural person executing a document has or will have sufficient legal capacity to do so; (ii) all documents submitted to us as originals are authentic, the signatures on all documents we reviewed are genuine, and all documents submitted to us as certified, conformed, photostatic, electronic or facsimile copies conform to the original document; (iii) all corporate records made available to us by the Company, and all public records we have reviewed, are accurate and complete; and (iv) immediately after any issuance of the Shares, the total number of issued and outstanding shares of Common Stock, together with the total number of shares of Common Stock then reserved for issuance or obligated to be issued by the Company pursuant to any agreement or arrangement, or otherwise, including the Plan, will not exceed the total number of shares of Common Stock then authorized under the Company’s articles of incorporation.</w:t>
      </w:r>
    </w:p>
    <w:p>
      <w:pPr>
        <w:pStyle w:val="TextBody"/>
        <w:bidi w:val="0"/>
        <w:spacing w:before="0" w:after="0"/>
        <w:ind w:left="0" w:right="0" w:hanging="0"/>
        <w:jc w:val="left"/>
        <w:rPr>
          <w:caps w:val="false"/>
          <w:smallCaps w:val="false"/>
        </w:rPr>
      </w:pPr>
      <w:r>
        <w:rPr>
          <w:caps w:val="false"/>
          <w:smallCaps w:val="false"/>
        </w:rPr>
        <w:t> </w:t>
      </w:r>
    </w:p>
    <w:tbl>
      <w:tblPr>
        <w:tblW w:w="1543" w:type="dxa"/>
        <w:jc w:val="left"/>
        <w:tblInd w:w="0" w:type="dxa"/>
        <w:tblLayout w:type="fixed"/>
        <w:tblCellMar>
          <w:top w:w="0" w:type="dxa"/>
          <w:left w:w="0" w:type="dxa"/>
          <w:bottom w:w="0" w:type="dxa"/>
          <w:right w:w="0" w:type="dxa"/>
        </w:tblCellMar>
      </w:tblPr>
      <w:tblGrid>
        <w:gridCol w:w="38"/>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pPr>
            <w:r>
              <w:rPr/>
              <w:t>www.bhfs.com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Palvella Therapeutics,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Plan and in exchange for the consideration required thereunder, and as described in the Registration Statement, such Shares will be validly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Registration Statement. No opinion is offered or implied as to any matter, and no inference may be drawn, beyond the strict scope of the specific issues expressly addressed by the opinion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In giving this consent, we do not admit that we are within the category of persons whose consent is required under Section 7 of the Act or the rules and regulations of the Commission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Brownstein Hyatt Farber Schreck,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20114d1_ex23-1.htm"/>
      <w:bookmarkStart w:id="6" w:name="kstm2620114d1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 (Form S-8) pertaining to the Palvella Therapeutics, Inc. 2024 Equity Incentive Plan of Palvella Therapeutics, Inc. of our report dated March 31, 2026, with respect to the consolidated financial statements of Palvella Therapeutics, Inc. included in its Annual Report (Form 10-K) for the year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tbl>
      <w:tblPr>
        <w:tblW w:w="2375" w:type="dxa"/>
        <w:jc w:val="left"/>
        <w:tblInd w:w="0" w:type="dxa"/>
        <w:tblLayout w:type="fixed"/>
        <w:tblCellMar>
          <w:top w:w="0" w:type="dxa"/>
          <w:left w:w="0" w:type="dxa"/>
          <w:bottom w:w="0" w:type="dxa"/>
          <w:right w:w="0" w:type="dxa"/>
        </w:tblCellMar>
      </w:tblPr>
      <w:tblGrid>
        <w:gridCol w:w="2300"/>
        <w:gridCol w:w="75"/>
      </w:tblGrid>
      <w:tr>
        <w:trPr/>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 </w:t>
            </w:r>
          </w:p>
        </w:tc>
        <w:tc>
          <w:tcPr>
            <w:tcW w:w="75" w:type="dxa"/>
            <w:tcBorders/>
            <w:vAlign w:val="center"/>
          </w:tcPr>
          <w:p>
            <w:pPr>
              <w:pStyle w:val="TableContents"/>
              <w:bidi w:val="0"/>
              <w:spacing w:before="0" w:after="283"/>
              <w:jc w:val="left"/>
              <w:rPr/>
            </w:pPr>
            <w:r>
              <w:rPr/>
              <w:t> </w:t>
            </w:r>
          </w:p>
        </w:tc>
      </w:tr>
      <w:tr>
        <w:trPr/>
        <w:tc>
          <w:tcPr>
            <w:tcW w:w="23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4,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Normal"/>
        <w:bidi w:val="0"/>
        <w:spacing w:before="0" w:after="0"/>
        <w:jc w:val="left"/>
        <w:rPr>
          <w:sz w:val="4"/>
          <w:szCs w:val="4"/>
        </w:rPr>
      </w:pPr>
      <w:r>
        <w:rPr>
          <w:sz w:val="4"/>
          <w:szCs w:val="4"/>
        </w:rPr>
      </w:r>
      <w:bookmarkStart w:id="7" w:name="tm2620114d1_ex-filingfees.htm"/>
      <w:bookmarkStart w:id="8" w:name="kstm2620114d1_exfilingfees"/>
      <w:bookmarkStart w:id="9" w:name="tm2620114d1_ex-filingfees.htm"/>
      <w:bookmarkStart w:id="10" w:name="kstm2620114d1_exfilingfees"/>
      <w:bookmarkEnd w:id="9"/>
      <w:bookmarkEnd w:id="10"/>
      <w:r>
        <w:br w:type="page"/>
      </w:r>
    </w:p>
    <w:tbl>
      <w:tblPr>
        <w:tblW w:w="4310" w:type="dxa"/>
        <w:jc w:val="left"/>
        <w:tblInd w:w="0" w:type="dxa"/>
        <w:tblLayout w:type="fixed"/>
        <w:tblCellMar>
          <w:top w:w="28" w:type="dxa"/>
          <w:left w:w="28" w:type="dxa"/>
          <w:bottom w:w="28" w:type="dxa"/>
          <w:right w:w="28" w:type="dxa"/>
        </w:tblCellMar>
      </w:tblPr>
      <w:tblGrid>
        <w:gridCol w:w="4156"/>
        <w:gridCol w:w="154"/>
      </w:tblGrid>
      <w:tr>
        <w:trPr/>
        <w:tc>
          <w:tcPr>
            <w:tcW w:w="431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15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4156" w:type="dxa"/>
            <w:tcBorders/>
            <w:vAlign w:val="center"/>
          </w:tcPr>
          <w:p>
            <w:pPr>
              <w:pStyle w:val="TableContents"/>
              <w:bidi w:val="0"/>
              <w:spacing w:before="0" w:after="283"/>
              <w:jc w:val="left"/>
              <w:rPr>
                <w:b/>
              </w:rPr>
            </w:pPr>
            <w:r>
              <w:rPr>
                <w:b/>
              </w:rPr>
              <w:t xml:space="preserve">PALVELLA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1016"/>
        <w:gridCol w:w="1283"/>
        <w:gridCol w:w="1193"/>
        <w:gridCol w:w="1182"/>
        <w:gridCol w:w="1801"/>
        <w:gridCol w:w="1126"/>
        <w:gridCol w:w="1413"/>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8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3"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1016" w:type="dxa"/>
            <w:tcBorders/>
            <w:shd w:fill="E7E7E2" w:val="clear"/>
            <w:vAlign w:val="center"/>
          </w:tcPr>
          <w:p>
            <w:pPr>
              <w:pStyle w:val="TableContents"/>
              <w:bidi w:val="0"/>
              <w:spacing w:before="0" w:after="283"/>
              <w:jc w:val="left"/>
              <w:rPr/>
            </w:pPr>
            <w:r>
              <w:rPr/>
              <w:t xml:space="preserve">Common Stock, par value $0.001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750,000 </w:t>
            </w:r>
          </w:p>
        </w:tc>
        <w:tc>
          <w:tcPr>
            <w:tcW w:w="1182" w:type="dxa"/>
            <w:tcBorders/>
            <w:shd w:fill="E7E7E2" w:val="clear"/>
            <w:vAlign w:val="center"/>
          </w:tcPr>
          <w:p>
            <w:pPr>
              <w:pStyle w:val="TableContents"/>
              <w:bidi w:val="0"/>
              <w:spacing w:before="0" w:after="283"/>
              <w:jc w:val="right"/>
              <w:rPr/>
            </w:pPr>
            <w:r>
              <w:rPr/>
              <w:t xml:space="preserve">$ 138.97 </w:t>
            </w:r>
          </w:p>
        </w:tc>
        <w:tc>
          <w:tcPr>
            <w:tcW w:w="1801" w:type="dxa"/>
            <w:tcBorders/>
            <w:shd w:fill="E7E7E2" w:val="clear"/>
            <w:vAlign w:val="center"/>
          </w:tcPr>
          <w:p>
            <w:pPr>
              <w:pStyle w:val="TableContents"/>
              <w:bidi w:val="0"/>
              <w:spacing w:before="0" w:after="283"/>
              <w:jc w:val="right"/>
              <w:rPr/>
            </w:pPr>
            <w:r>
              <w:rPr/>
              <w:t xml:space="preserve">$ 104,227,500.00 </w:t>
            </w:r>
          </w:p>
        </w:tc>
        <w:tc>
          <w:tcPr>
            <w:tcW w:w="1126" w:type="dxa"/>
            <w:tcBorders/>
            <w:shd w:fill="E7E7E2" w:val="clear"/>
            <w:vAlign w:val="center"/>
          </w:tcPr>
          <w:p>
            <w:pPr>
              <w:pStyle w:val="TableContents"/>
              <w:bidi w:val="0"/>
              <w:spacing w:before="0" w:after="283"/>
              <w:jc w:val="right"/>
              <w:rPr/>
            </w:pPr>
            <w:r>
              <w:rPr/>
              <w:t xml:space="preserve">0.0001381 </w:t>
            </w:r>
          </w:p>
        </w:tc>
        <w:tc>
          <w:tcPr>
            <w:tcW w:w="1413" w:type="dxa"/>
            <w:tcBorders/>
            <w:shd w:fill="E7E7E2" w:val="clear"/>
            <w:vAlign w:val="center"/>
          </w:tcPr>
          <w:p>
            <w:pPr>
              <w:pStyle w:val="TableContents"/>
              <w:bidi w:val="0"/>
              <w:spacing w:before="0" w:after="283"/>
              <w:jc w:val="right"/>
              <w:rPr/>
            </w:pPr>
            <w:r>
              <w:rPr/>
              <w:t xml:space="preserve">$ 14,393.82 </w:t>
            </w:r>
          </w:p>
        </w:tc>
      </w:tr>
      <w:tr>
        <w:trPr/>
        <w:tc>
          <w:tcPr>
            <w:tcW w:w="4683" w:type="dxa"/>
            <w:gridSpan w:val="5"/>
            <w:tcBorders/>
            <w:vAlign w:val="center"/>
          </w:tcPr>
          <w:p>
            <w:pPr>
              <w:pStyle w:val="TableContents"/>
              <w:bidi w:val="0"/>
              <w:spacing w:before="0" w:after="0"/>
              <w:ind w:left="0" w:right="0" w:hanging="0"/>
              <w:jc w:val="right"/>
              <w:rPr/>
            </w:pPr>
            <w:r>
              <w:rPr/>
              <w:t>Total Offering Amounts:</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1" w:name="MaxAggtOfferingPrice"/>
            <w:bookmarkEnd w:id="11"/>
            <w:r>
              <w:rPr/>
              <w:t xml:space="preserve">$ 104,227,500.00 </w:t>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$ 14,393.82 </w:t>
            </w:r>
          </w:p>
        </w:tc>
      </w:tr>
      <w:tr>
        <w:trPr/>
        <w:tc>
          <w:tcPr>
            <w:tcW w:w="4683" w:type="dxa"/>
            <w:gridSpan w:val="5"/>
            <w:tcBorders/>
            <w:vAlign w:val="center"/>
          </w:tcPr>
          <w:p>
            <w:pPr>
              <w:pStyle w:val="TableContents"/>
              <w:bidi w:val="0"/>
              <w:spacing w:before="0" w:after="0"/>
              <w:ind w:left="0" w:right="0" w:hanging="0"/>
              <w:jc w:val="right"/>
              <w:rPr/>
            </w:pPr>
            <w:r>
              <w:rPr/>
              <w:t xml:space="preserve">Total Fee Offsets: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683" w:type="dxa"/>
            <w:gridSpan w:val="5"/>
            <w:tcBorders/>
            <w:vAlign w:val="center"/>
          </w:tcPr>
          <w:p>
            <w:pPr>
              <w:pStyle w:val="TableContents"/>
              <w:bidi w:val="0"/>
              <w:spacing w:before="0" w:after="0"/>
              <w:ind w:left="0" w:right="0" w:hanging="0"/>
              <w:jc w:val="right"/>
              <w:rPr/>
            </w:pPr>
            <w:r>
              <w:rPr/>
              <w:t xml:space="preserve">Net Fee Due: </w:t>
            </w:r>
          </w:p>
        </w:tc>
        <w:tc>
          <w:tcPr>
            <w:tcW w:w="118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0"/>
              <w:ind w:left="0" w:right="0" w:hanging="0"/>
              <w:jc w:val="right"/>
              <w:rPr/>
            </w:pPr>
            <w:bookmarkStart w:id="14" w:name="NetFeeAmt"/>
            <w:bookmarkEnd w:id="14"/>
            <w:r>
              <w:rPr/>
              <w:t xml:space="preserve">$ 14,393.82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416(a) of the Securities Act of 1933, as amended (the "Securities Act"), this Registration Statement on Form S-8 shall also cover an indeterminate number of additional shares of common stock, par value $0.001 per share ("Common Stock"), of Palvella Therapeutics, Inc. (the "Registrant") issuable under the Registrant's 2024 Equity Incentive Plan, as amended, by reason of any future stock dividend, stock split, recapitalization or other similar transaction effected without the receipt of consideration by the Registrant, which results in an increase in the number of outstanding shares of Common Stock. (2) Represents shares of Common Stock that are issuable under Amendment No. 1 to the 2024 Equity Incentive Plan, which was adopted by the Registrant's Board of Directors on April 27, 2026 and approved by the Registrant's stockholders at the 2026 Annual Meeting of Stockholders on June 10, 2026. (3) Estimated pursuant to Rule 457(c) and Rule 457(h) of the Securities Act solely for the purpose of calculating the registration fee on the basis of the average of the high and low prices of the Common Stock as reported on The Nasdaq Global Market on August 3,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3648/000143774925004229/pirs20250215_s8.htm" TargetMode="External"/><Relationship Id="rId3" Type="http://schemas.openxmlformats.org/officeDocument/2006/relationships/hyperlink" Target="https://www.sec.gov/ix?doc=/Archives/edgar/data/1583648/000119312526133372/pvla-20251231.htm" TargetMode="External"/><Relationship Id="rId4" Type="http://schemas.openxmlformats.org/officeDocument/2006/relationships/hyperlink" Target="https://www.sec.gov/ix?doc=/Archives/edgar/data/1583648/000110465926052875/tm261617-1_def14a.htm" TargetMode="External"/><Relationship Id="rId5" Type="http://schemas.openxmlformats.org/officeDocument/2006/relationships/hyperlink" Target="https://www.sec.gov/ix?doc=/Archives/edgar/data/1583648/000119312526210463/pvla-20260331.htm" TargetMode="External"/><Relationship Id="rId6" Type="http://schemas.openxmlformats.org/officeDocument/2006/relationships/hyperlink" Target="https://www.sec.gov/ix?doc=/Archives/edgar/data/0001583648/000119312526331574/pvla-20260630.htm" TargetMode="External"/><Relationship Id="rId7" Type="http://schemas.openxmlformats.org/officeDocument/2006/relationships/hyperlink" Target="https://www.sec.gov/ix?doc=/Archives/edgar/data/1583648/000119312526009724/pvla-20260112.htm" TargetMode="External"/><Relationship Id="rId8" Type="http://schemas.openxmlformats.org/officeDocument/2006/relationships/hyperlink" Target="https://www.sec.gov/ix?doc=/Archives/edgar/data/1583648/000119312526029341/pvla-20260129.htm" TargetMode="External"/><Relationship Id="rId9" Type="http://schemas.openxmlformats.org/officeDocument/2006/relationships/hyperlink" Target="https://www.sec.gov/ix?doc=/Archives/edgar/data/0001583648/000119312526065159/pvla-20260224.htm" TargetMode="External"/><Relationship Id="rId10" Type="http://schemas.openxmlformats.org/officeDocument/2006/relationships/hyperlink" Target="https://www.sec.gov/ix?doc=/Archives/edgar/data/1583648/000110465926020667/tm2534019d6_8k.htm" TargetMode="External"/><Relationship Id="rId11" Type="http://schemas.openxmlformats.org/officeDocument/2006/relationships/hyperlink" Target="https://www.sec.gov/ix?doc=/Archives/edgar/data/1583648/000119312526144540/pvla-20260407.htm" TargetMode="External"/><Relationship Id="rId12" Type="http://schemas.openxmlformats.org/officeDocument/2006/relationships/hyperlink" Target="https://www.sec.gov/ix?doc=/Archives/edgar/data/1583648/000119312526151979/pvla-20260413.htm" TargetMode="External"/><Relationship Id="rId13" Type="http://schemas.openxmlformats.org/officeDocument/2006/relationships/hyperlink" Target="https://www.sec.gov/ix?doc=/Archives/edgar/data/1583648/000119312526220607/pvla-20260511.htm" TargetMode="External"/><Relationship Id="rId14" Type="http://schemas.openxmlformats.org/officeDocument/2006/relationships/hyperlink" Target="https://www.sec.gov/ix?doc=/Archives/edgar/data/1583648/000119312526225317/pvla-20260515.htm" TargetMode="External"/><Relationship Id="rId15" Type="http://schemas.openxmlformats.org/officeDocument/2006/relationships/hyperlink" Target="https://www.sec.gov/ix?doc=/Archives/edgar/data/1583648/000119312526232717/pvla-20260520.htm" TargetMode="External"/><Relationship Id="rId16" Type="http://schemas.openxmlformats.org/officeDocument/2006/relationships/hyperlink" Target="https://www.sec.gov/ix?doc=/Archives/edgar/data/1583648/000110465926074338/tm2618003d1_8k.htm" TargetMode="External"/><Relationship Id="rId17" Type="http://schemas.openxmlformats.org/officeDocument/2006/relationships/hyperlink" Target="https://www.sec.gov/ix?doc=/Archives/edgar/data/1583648/000110465926079087/tm2619348d1_8k.htm" TargetMode="External"/><Relationship Id="rId18" Type="http://schemas.openxmlformats.org/officeDocument/2006/relationships/hyperlink" Target="https://www.sec.gov/ix?doc=/Archives/edgar/data/1583648/000119312526303307/pvla-20260714.htm" TargetMode="External"/><Relationship Id="rId19" Type="http://schemas.openxmlformats.org/officeDocument/2006/relationships/hyperlink" Target="https://www.sec.gov/Archives/edgar/data/1583648/000119312515233468/d949476d8a12b.htm" TargetMode="External"/><Relationship Id="rId20" Type="http://schemas.openxmlformats.org/officeDocument/2006/relationships/hyperlink" Target="https://www.sec.gov/Archives/edgar/data/1583648/000119312514445590/d837896dex31.htm" TargetMode="External"/><Relationship Id="rId21" Type="http://schemas.openxmlformats.org/officeDocument/2006/relationships/hyperlink" Target="https://www.sec.gov/Archives/edgar/data/1583648/000119312514445590/d837896dex31.htm" TargetMode="External"/><Relationship Id="rId22" Type="http://schemas.openxmlformats.org/officeDocument/2006/relationships/hyperlink" Target="https://www.sec.gov/Archives/edgar/data/1583648/000143774924012442/ex_655548.htm" TargetMode="External"/><Relationship Id="rId23" Type="http://schemas.openxmlformats.org/officeDocument/2006/relationships/hyperlink" Target="https://www.sec.gov/Archives/edgar/data/1583648/000143774924012442/ex_655548.htm" TargetMode="External"/><Relationship Id="rId24" Type="http://schemas.openxmlformats.org/officeDocument/2006/relationships/hyperlink" Target="https://www.sec.gov/Archives/edgar/data/1583648/000143774924037350/ex_756938.htm" TargetMode="External"/><Relationship Id="rId25" Type="http://schemas.openxmlformats.org/officeDocument/2006/relationships/hyperlink" Target="https://www.sec.gov/Archives/edgar/data/1583648/000143774924037350/ex_756938.htm" TargetMode="External"/><Relationship Id="rId26" Type="http://schemas.openxmlformats.org/officeDocument/2006/relationships/hyperlink" Target="https://www.sec.gov/Archives/edgar/data/1583648/000143774924037515/ex_757088.htm" TargetMode="External"/><Relationship Id="rId27" Type="http://schemas.openxmlformats.org/officeDocument/2006/relationships/hyperlink" Target="https://www.sec.gov/Archives/edgar/data/1583648/000143774924037515/ex_757088.htm" TargetMode="External"/><Relationship Id="rId28" Type="http://schemas.openxmlformats.org/officeDocument/2006/relationships/hyperlink" Target="https://www.sec.gov/Archives/edgar/data/1583648/000143774924037515/ex_757087.htm" TargetMode="External"/><Relationship Id="rId29" Type="http://schemas.openxmlformats.org/officeDocument/2006/relationships/hyperlink" Target="https://www.sec.gov/Archives/edgar/data/1583648/000143774924037515/ex_757087.htm" TargetMode="External"/><Relationship Id="rId30" Type="http://schemas.openxmlformats.org/officeDocument/2006/relationships/hyperlink" Target="https://www.sec.gov/Archives/edgar/data/1583648/000119312514445590/d837896dex32.htm" TargetMode="External"/><Relationship Id="rId31" Type="http://schemas.openxmlformats.org/officeDocument/2006/relationships/hyperlink" Target="https://www.sec.gov/Archives/edgar/data/1583648/000119312514445590/d837896dex32.htm" TargetMode="External"/><Relationship Id="rId32" Type="http://schemas.openxmlformats.org/officeDocument/2006/relationships/hyperlink" Target="https://www.sec.gov/Archives/edgar/data/1583648/000158364819000056/a190903pirsexhibit31byla.htm" TargetMode="External"/><Relationship Id="rId33" Type="http://schemas.openxmlformats.org/officeDocument/2006/relationships/hyperlink" Target="https://www.sec.gov/Archives/edgar/data/1583648/000158364819000056/a190903pirsexhibit31byla.htm" TargetMode="External"/><Relationship Id="rId34" Type="http://schemas.openxmlformats.org/officeDocument/2006/relationships/hyperlink" Target="https://www.sec.gov/Archives/edgar/data/1583648/000143774924037515/ex_755588.htm" TargetMode="External"/><Relationship Id="rId35" Type="http://schemas.openxmlformats.org/officeDocument/2006/relationships/hyperlink" Target="https://www.sec.gov/Archives/edgar/data/1583648/000143774924037515/ex_755588.htm" TargetMode="External"/><Relationship Id="rId36" Type="http://schemas.openxmlformats.org/officeDocument/2006/relationships/hyperlink" Target="https://www.sec.gov/Archives/edgar/data/1583648/000143774924037350/ex_756437.htm" TargetMode="External"/><Relationship Id="rId37" Type="http://schemas.openxmlformats.org/officeDocument/2006/relationships/hyperlink" Target="https://www.sec.gov/Archives/edgar/data/1583648/000143774924037350/ex_756437.htm" TargetMode="External"/><Relationship Id="rId38" Type="http://schemas.openxmlformats.org/officeDocument/2006/relationships/hyperlink" Target="https://www.sec.gov/Archives/edgar/data/1583648/000110465926074338/tm2618003d1_ex10-1.htm" TargetMode="External"/><Relationship Id="rId39" Type="http://schemas.openxmlformats.org/officeDocument/2006/relationships/hyperlink" Target="https://www.sec.gov/Archives/edgar/data/1583648/000110465926074338/tm2618003d1_ex10-1.htm" TargetMode="External"/><Relationship Id="rId40" Type="http://schemas.openxmlformats.org/officeDocument/2006/relationships/hyperlink" Target="https://www.sec.gov/Archives/edgar/data/1583648/000143774924037515/ex_755591.htm" TargetMode="External"/><Relationship Id="rId41" Type="http://schemas.openxmlformats.org/officeDocument/2006/relationships/hyperlink" Target="https://www.sec.gov/Archives/edgar/data/1583648/000143774924037515/ex_755591.htm" TargetMode="External"/><Relationship Id="rId42" Type="http://schemas.openxmlformats.org/officeDocument/2006/relationships/hyperlink" Target="https://www.sec.gov/Archives/edgar/data/1583648/000143774924037515/ex_755592.htm" TargetMode="External"/><Relationship Id="rId43" Type="http://schemas.openxmlformats.org/officeDocument/2006/relationships/hyperlink" Target="https://www.sec.gov/Archives/edgar/data/1583648/000143774924037515/ex_755592.htm" TargetMode="External"/><Relationship Id="rId44" Type="http://schemas.openxmlformats.org/officeDocument/2006/relationships/hyperlink" Target="https://www.sec.gov/Archives/edgar/data/1583648/000119312526331574/pvla-ex10_2.htm" TargetMode="External"/><Relationship Id="rId45" Type="http://schemas.openxmlformats.org/officeDocument/2006/relationships/hyperlink" Target="https://www.sec.gov/Archives/edgar/data/1583648/000119312526331574/pvla-ex10_2.htm" TargetMode="External"/><Relationship Id="rId46" Type="http://schemas.openxmlformats.org/officeDocument/2006/relationships/image" Target="media/image1.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3336</Words>
  <Characters>17918</Characters>
  <CharactersWithSpaces>21308</CharactersWithSpaces>
  <Paragraphs>474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