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Palvella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697947109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525,732.00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525,732.00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525,732.00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525,732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525,732.00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6" w:right="3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525,732.00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525,732.00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525,732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525,732.00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525,732.00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525,732.00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525,732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4"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4"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155,023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11,018,747 shares of Common Stock outstanding on March 25, 2025, as set forth in the Issuer's Annual Report on Form 10-K filed with the SEC on March 31, 2025.</w:t>
      </w:r>
    </w:p>
    <w:p>
      <w:pPr>
        <w:sectPr>
          <w:pgSz w:w="11900" w:h="16864" w:orient="portrait"/>
          <w:cols w:equalWidth="0" w:num="1">
            <w:col w:w="11240"/>
          </w:cols>
          <w:pgMar w:left="320" w:top="112"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64" w:orient="portrait"/>
          <w:cols w:equalWidth="0" w:num="1">
            <w:col w:w="11240"/>
          </w:cols>
          <w:pgMar w:left="320" w:top="112" w:right="3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89"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89" w:right="37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155,023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00"/>
          </w:cols>
          <w:pgMar w:left="320" w:top="189" w:right="37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155,023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3,914.00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11" w:right="379" w:bottom="0" w:gutter="0" w:footer="0" w:header="0"/>
          <w:type w:val="continuous"/>
        </w:sectPr>
      </w:pPr>
    </w:p>
    <w:bookmarkStart w:id="6" w:name="page7"/>
    <w:bookmarkEnd w:id="6"/>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3,914.00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3,914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10060"/>
          </w:cols>
          <w:pgMar w:left="320" w:top="111" w:right="35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3,914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3,914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The percentage listed in row 11 is calculated based on 11,018,747 shares of Common Stock outstanding on March 25, 2025, as set forth in the Issuer's Annual Report on Form 10-K filed with the SEC on March 31, 2025.</w:t>
      </w:r>
    </w:p>
    <w:p>
      <w:pPr>
        <w:sectPr>
          <w:pgSz w:w="11900" w:h="16838" w:orient="portrait"/>
          <w:cols w:equalWidth="0" w:num="1">
            <w:col w:w="11220"/>
          </w:cols>
          <w:pgMar w:left="320" w:top="355" w:right="359" w:bottom="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810"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20"/>
          </w:cols>
          <w:pgMar w:left="320" w:top="810" w:right="39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5,343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by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80"/>
          </w:cols>
          <w:pgMar w:left="320" w:top="810" w:right="399" w:bottom="0" w:gutter="0" w:footer="0" w:header="0"/>
          <w:type w:val="continuous"/>
        </w:sectPr>
      </w:pPr>
    </w:p>
    <w:bookmarkStart w:id="9" w:name="page10"/>
    <w:bookmarkEnd w:id="9"/>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20"/>
          </w:cols>
          <w:pgMar w:left="320" w:top="369" w:right="39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5,343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by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369" w:right="399" w:bottom="0" w:gutter="0" w:footer="0" w:header="0"/>
          <w:type w:val="continuous"/>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5,343.00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5,343.00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5,343.00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5,343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by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690,012.00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690,012.00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690,012.00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80"/>
          </w:cols>
          <w:pgMar w:left="320" w:top="102" w:right="399" w:bottom="0" w:gutter="0" w:footer="0" w:header="0"/>
        </w:sectPr>
      </w:pPr>
    </w:p>
    <w:bookmarkStart w:id="11" w:name="page12"/>
    <w:bookmarkEnd w:id="11"/>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(i) 525,732 shares of Common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directly by Frazier Life Sciences Public Fund, L.P., (ii) 155,023 shares of Common Stock held directly by Frazier Life Sciences Public Overage Fund, L.P., (iii) 3,914 shares of Common Stock held directly by Frazier Life Sciences X, L.P. and (iv) 5,343 shares of Common Stock held directly by Frazier Life Sciences XI,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by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612"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690,012.00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690,012.00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690,012.00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960"/>
          </w:cols>
          <w:pgMar w:left="320" w:top="612" w:right="45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20"/>
          </w:cols>
          <w:pgMar w:left="320" w:top="612" w:right="459" w:bottom="0" w:gutter="0" w:footer="0" w:header="0"/>
          <w:type w:val="continuous"/>
        </w:sectPr>
      </w:pPr>
    </w:p>
    <w:bookmarkStart w:id="12" w:name="page13"/>
    <w:bookmarkEnd w:id="12"/>
    <w:p>
      <w:pPr>
        <w:ind w:left="1160" w:right="5660" w:hanging="1112"/>
        <w:spacing w:after="0" w:line="371" w:lineRule="auto"/>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(i) 525,732 shares of Common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directly by Frazier Life Sciences Public Fund, L.P., (ii) 155,023 shares of Common Stock held directly by Frazier Life Sciences Public Overage Fund, L.P., (iii) 3,914 shares of Common Stock held directly by Frazier Life Sciences X, L.P. and (iv) 5,343 shares of Common Stock held directly by Frazier Life Sciences XI,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by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Albert Cha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2"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680,755.00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680,755.00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680,755.00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960"/>
          </w:cols>
          <w:pgMar w:left="320" w:top="112" w:right="459" w:bottom="0" w:gutter="0" w:footer="0" w:header="0"/>
          <w:type w:val="continuous"/>
        </w:sectPr>
      </w:pPr>
    </w:p>
    <w:bookmarkStart w:id="13" w:name="page14"/>
    <w:bookmarkEnd w:id="13"/>
    <w:p>
      <w:pPr>
        <w:spacing w:after="0" w:line="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525,732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Life Sciences Public Fund, L.P., and (ii) 155,023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Brush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24"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680,755.00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680,755.00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680,755.00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24"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(i) 525,732 shares of Common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held directly by Frazier Life Sciences Public Fund, L.P., and (ii) 155,023 shares of Common Stock held directly by Frazier Life Sciences Public Overage Fund, L.P. FHMLSP, L.P. is the general partner of Frazier Life Sciences Public Fund, L.P. and</w:t>
      </w:r>
    </w:p>
    <w:p>
      <w:pPr>
        <w:sectPr>
          <w:pgSz w:w="11900" w:h="16924" w:orient="portrait"/>
          <w:cols w:equalWidth="0" w:num="1">
            <w:col w:w="11240"/>
          </w:cols>
          <w:pgMar w:left="320" w:top="112" w:right="339" w:bottom="0" w:gutter="0" w:footer="0" w:header="0"/>
          <w:type w:val="continuous"/>
        </w:sectPr>
      </w:pPr>
    </w:p>
    <w:bookmarkStart w:id="14" w:name="page15"/>
    <w:bookmarkEnd w:id="14"/>
    <w:p>
      <w:pPr>
        <w:spacing w:after="0" w:line="235" w:lineRule="auto"/>
        <w:rPr>
          <w:sz w:val="20"/>
          <w:szCs w:val="20"/>
          <w:color w:val="auto"/>
        </w:rPr>
      </w:pPr>
      <w:r>
        <w:rPr>
          <w:rFonts w:ascii="Times New Roman" w:cs="Times New Roman" w:eastAsia="Times New Roman" w:hAnsi="Times New Roman"/>
          <w:sz w:val="22"/>
          <w:szCs w:val="22"/>
          <w:color w:val="auto"/>
        </w:rPr>
        <w:t>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11,018,747 shares of Common Stock outstanding on March 25, 2025, as set forth in the Issuer's Annual Report on Form 10-K filed with the SEC on March 31,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697947109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Estes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5,343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by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11,018,747 shares of Common Stock outstanding on March 25, 2025, as set forth in the Issuer's Annual Report on Form 10-K filed with the SEC on March 31, 2025.</w:t>
      </w:r>
    </w:p>
    <w:p>
      <w:pPr>
        <w:sectPr>
          <w:pgSz w:w="11900" w:h="16838" w:orient="portrait"/>
          <w:cols w:equalWidth="0" w:num="1">
            <w:col w:w="11240"/>
          </w:cols>
          <w:pgMar w:left="320" w:top="112"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40"/>
          </w:cols>
          <w:pgMar w:left="320" w:top="112" w:right="339"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Palvella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125 Strafford Ave, Suite 360, Wayne, PA, 19087.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entities and persons filing this statement (collectively, the "Reporting Persons") are: Frazier Life Sciences Public</w:t>
      </w:r>
    </w:p>
    <w:p>
      <w:pPr>
        <w:spacing w:after="0" w:line="26" w:lineRule="exact"/>
        <w:rPr>
          <w:sz w:val="20"/>
          <w:szCs w:val="20"/>
          <w:color w:val="auto"/>
        </w:rPr>
      </w:pPr>
    </w:p>
    <w:p>
      <w:pPr>
        <w:ind w:left="920" w:hanging="912"/>
        <w:spacing w:after="0" w:line="196" w:lineRule="auto"/>
        <w:tabs>
          <w:tab w:leader="none" w:pos="920" w:val="left"/>
        </w:tabs>
        <w:numPr>
          <w:ilvl w:val="0"/>
          <w:numId w:val="2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L.P. ("FLSPF") FHMLSP, L.P. FHMLSP, L.L.C. Frazier Life Sciences Public Overage Fund, L.P. ("FLSPOF") FHMLSP Overage, L.P. FHMLSP Overage, L.L.C. Frazier Life Sciences X, L.P. ("FLS X") FHMLS X, L.P. FHMLS X, L.L.C. Frazier Life Sciences XI, L.P. ("FLS XI") FHMLS XI, L.P. FHMLS XI, L.L.C. James N. Topper ("Topper") Patrick J. Heron ("Heron") Albert Cha ("Cha") James Brush ("Brush") Daniel Estes ("Estes" and together with Topper, Heron, Cha and Brush, the "Members")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840" w:hanging="912"/>
        <w:spacing w:after="0" w:line="185" w:lineRule="auto"/>
        <w:tabs>
          <w:tab w:leader="none" w:pos="920" w:val="left"/>
        </w:tabs>
        <w:numPr>
          <w:ilvl w:val="0"/>
          <w:numId w:val="2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place of business for each of the Reporting Persons is: c/o Frazier Life Sciences Management, L.P. 1001 Page Mill Rd, Building 4, Suite B Palo Alto, CA 94304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1"/>
          <w:szCs w:val="21"/>
          <w:color w:val="auto"/>
        </w:rPr>
        <w:t>Entities: FLSPF - Delaware, U.S.A. FHMLSP, L.P. - Delaware, U.S.A. FHMLSP, L.L.C. - Delaware, U.S.A. FLSPOF</w:t>
      </w:r>
    </w:p>
    <w:p>
      <w:pPr>
        <w:spacing w:after="0" w:line="25" w:lineRule="exact"/>
        <w:rPr>
          <w:rFonts w:ascii="Times New Roman" w:cs="Times New Roman" w:eastAsia="Times New Roman" w:hAnsi="Times New Roman"/>
          <w:sz w:val="39"/>
          <w:szCs w:val="39"/>
          <w:color w:val="auto"/>
          <w:vertAlign w:val="superscript"/>
        </w:rPr>
      </w:pPr>
    </w:p>
    <w:p>
      <w:pPr>
        <w:ind w:left="920" w:hanging="912"/>
        <w:spacing w:after="0" w:line="196" w:lineRule="auto"/>
        <w:tabs>
          <w:tab w:leader="none" w:pos="920" w:val="left"/>
        </w:tabs>
        <w:numPr>
          <w:ilvl w:val="0"/>
          <w:numId w:val="2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 Delaware, U.S.A. FHMLSP Overage, L.P. - Delaware, U.S.A. FHMLSP Overage, L.L.C. - Delaware, U.S.A. FLS X - Delaware, U.S.A. FHMLS X, L.P. - Delaware, U.S.A. FHMLS X, L.L.C. - Delaware, U.S.A. FLS XI - Delaware, U.S.A. FHMLS XI, L.P. - Delaware, U.S.A. FHMLS XI, L.L.C. - Delaware, U.S.A. Individuals: Topper - United States Citizen Heron - United States Citizen Cha - United States Citizen Brush - United States Citizen Estes - United States Citizen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697947109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2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40" w:hanging="912"/>
        <w:spacing w:after="0" w:line="185" w:lineRule="auto"/>
        <w:tabs>
          <w:tab w:leader="none" w:pos="920" w:val="left"/>
        </w:tabs>
        <w:numPr>
          <w:ilvl w:val="0"/>
          <w:numId w:val="2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9 of each Reporting Person's cover page to this Schedule 13G (including the footnotes thereto) is incorporated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540" w:hanging="912"/>
        <w:spacing w:after="0" w:line="185" w:lineRule="auto"/>
        <w:tabs>
          <w:tab w:leader="none" w:pos="920" w:val="left"/>
        </w:tabs>
        <w:numPr>
          <w:ilvl w:val="0"/>
          <w:numId w:val="2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By Steve R. Bailey, CFO of FHMLSP, L.L.C.</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ectPr>
          <w:pgSz w:w="11900" w:h="16838" w:orient="portrait"/>
          <w:cols w:equalWidth="0" w:num="1">
            <w:col w:w="11140"/>
          </w:cols>
          <w:pgMar w:left="360" w:top="355" w:right="399" w:bottom="0" w:gutter="0" w:footer="0" w:header="0"/>
          <w:type w:val="continuous"/>
        </w:sectPr>
      </w:pPr>
    </w:p>
    <w:bookmarkStart w:id="17" w:name="page18"/>
    <w:bookmarkEnd w:id="17"/>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FHMLSP Overage,</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L.L.C., GP of FHMLSP Overage, L.P., GP of</w:t>
      </w:r>
    </w:p>
    <w:p>
      <w:pPr>
        <w:ind w:left="56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GP of FHMLSP Overage,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Steve R. Bailey,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Steve R. Bailey,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James N.</w:t>
      </w:r>
    </w:p>
    <w:p>
      <w:pPr>
        <w:spacing w:after="0" w:line="14" w:lineRule="exact"/>
        <w:rPr>
          <w:sz w:val="20"/>
          <w:szCs w:val="20"/>
          <w:color w:val="auto"/>
        </w:rPr>
      </w:pPr>
    </w:p>
    <w:p>
      <w:pPr>
        <w:ind w:left="5660" w:right="60" w:hanging="1093"/>
        <w:spacing w:after="0" w:line="256" w:lineRule="auto"/>
        <w:rPr>
          <w:sz w:val="20"/>
          <w:szCs w:val="20"/>
          <w:color w:val="auto"/>
        </w:rPr>
      </w:pPr>
      <w:r>
        <w:rPr>
          <w:rFonts w:ascii="Times New Roman" w:cs="Times New Roman" w:eastAsia="Times New Roman" w:hAnsi="Times New Roman"/>
          <w:sz w:val="21"/>
          <w:szCs w:val="21"/>
          <w:color w:val="auto"/>
        </w:rPr>
        <w:t>Name/Title: Topper, pursuant to a Power of Attorney, a copy of which was filed with the SEC on July 31, 2017</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38" w:orient="portrait"/>
          <w:cols w:equalWidth="0" w:num="1">
            <w:col w:w="10020"/>
          </w:cols>
          <w:pgMar w:left="1440" w:top="112" w:right="439" w:bottom="0" w:gutter="0" w:footer="0" w:header="0"/>
        </w:sectPr>
      </w:pPr>
    </w:p>
    <w:bookmarkStart w:id="18" w:name="page19"/>
    <w:bookmarkEnd w:id="18"/>
    <w:p>
      <w:pPr>
        <w:ind w:left="158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Patrick J.</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Heron, pursuant to a Power of Attorney, a copy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July 31, 2017</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Albert Cha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Albert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Cha, pursuant to a Power of Attorney, a copy of</w:t>
      </w:r>
    </w:p>
    <w:p>
      <w:pPr>
        <w:ind w:left="6740"/>
        <w:spacing w:after="0"/>
        <w:rPr>
          <w:sz w:val="20"/>
          <w:szCs w:val="20"/>
          <w:color w:val="auto"/>
        </w:rPr>
      </w:pPr>
      <w:r>
        <w:rPr>
          <w:rFonts w:ascii="Times New Roman" w:cs="Times New Roman" w:eastAsia="Times New Roman" w:hAnsi="Times New Roman"/>
          <w:sz w:val="21"/>
          <w:szCs w:val="21"/>
          <w:color w:val="auto"/>
        </w:rPr>
        <w:t>which was filed with the SEC on August 16, 2021</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James Brush</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James</w:t>
      </w:r>
    </w:p>
    <w:p>
      <w:pPr>
        <w:spacing w:after="0" w:line="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color w:val="auto"/>
        </w:rPr>
        <w:t>Name/Title: Brush, pursuant to a Power of Attorney, a copy of</w:t>
      </w:r>
    </w:p>
    <w:p>
      <w:pPr>
        <w:jc w:val="right"/>
        <w:ind w:right="40"/>
        <w:spacing w:after="0"/>
        <w:rPr>
          <w:sz w:val="20"/>
          <w:szCs w:val="20"/>
          <w:color w:val="auto"/>
        </w:rPr>
      </w:pPr>
      <w:r>
        <w:rPr>
          <w:rFonts w:ascii="Times New Roman" w:cs="Times New Roman" w:eastAsia="Times New Roman" w:hAnsi="Times New Roman"/>
          <w:sz w:val="22"/>
          <w:szCs w:val="22"/>
          <w:color w:val="auto"/>
        </w:rPr>
        <w:t>which was filed with the SEC on August 16, 2021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Daniel Estes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Daniel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Estes, pursuant to a Power of Attorney, a copy of</w:t>
      </w: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April 18, 2022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20"/>
          </w:cols>
          <w:pgMar w:left="360" w:top="112" w:right="4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Common Stock of Palvella Therapeutics,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602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r>
      <w:tr>
        <w:trPr>
          <w:trHeight w:val="243"/>
        </w:trPr>
        <w:tc>
          <w:tcPr>
            <w:tcW w:w="3160" w:type="dxa"/>
            <w:vAlign w:val="bottom"/>
          </w:tcPr>
          <w:p>
            <w:pPr>
              <w:spacing w:after="0"/>
              <w:rPr>
                <w:sz w:val="21"/>
                <w:szCs w:val="21"/>
                <w:color w:val="auto"/>
              </w:rPr>
            </w:pPr>
          </w:p>
        </w:tc>
        <w:tc>
          <w:tcPr>
            <w:tcW w:w="602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r>
      <w:tr>
        <w:trPr>
          <w:trHeight w:val="282"/>
        </w:trPr>
        <w:tc>
          <w:tcPr>
            <w:tcW w:w="3160" w:type="dxa"/>
            <w:vAlign w:val="bottom"/>
          </w:tcPr>
          <w:p>
            <w:pPr>
              <w:spacing w:after="0"/>
              <w:rPr>
                <w:sz w:val="24"/>
                <w:szCs w:val="24"/>
                <w:color w:val="auto"/>
              </w:rPr>
            </w:pPr>
          </w:p>
        </w:tc>
        <w:tc>
          <w:tcPr>
            <w:tcW w:w="602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60" w:type="dxa"/>
            <w:vAlign w:val="bottom"/>
          </w:tcPr>
          <w:p>
            <w:pPr>
              <w:spacing w:after="0"/>
              <w:rPr>
                <w:sz w:val="24"/>
                <w:szCs w:val="24"/>
                <w:color w:val="auto"/>
              </w:rPr>
            </w:pPr>
          </w:p>
        </w:tc>
        <w:tc>
          <w:tcPr>
            <w:tcW w:w="602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L.P.</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L.L.C.</w:t>
            </w:r>
          </w:p>
        </w:tc>
      </w:tr>
      <w:tr>
        <w:trPr>
          <w:trHeight w:val="434"/>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PUBLIC OVERAGE FUND, L.P.</w:t>
            </w:r>
          </w:p>
        </w:tc>
      </w:tr>
      <w:tr>
        <w:trPr>
          <w:trHeight w:val="243"/>
        </w:trPr>
        <w:tc>
          <w:tcPr>
            <w:tcW w:w="3160" w:type="dxa"/>
            <w:vAlign w:val="bottom"/>
          </w:tcPr>
          <w:p>
            <w:pPr>
              <w:spacing w:after="0"/>
              <w:rPr>
                <w:sz w:val="21"/>
                <w:szCs w:val="21"/>
                <w:color w:val="auto"/>
              </w:rPr>
            </w:pPr>
          </w:p>
        </w:tc>
        <w:tc>
          <w:tcPr>
            <w:tcW w:w="808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FHMLSP Overage, L.P., its General Partner</w:t>
            </w:r>
          </w:p>
        </w:tc>
      </w:tr>
      <w:tr>
        <w:trPr>
          <w:trHeight w:val="282"/>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OVERAGE, L.P.</w:t>
            </w:r>
          </w:p>
        </w:tc>
      </w:tr>
      <w:tr>
        <w:trPr>
          <w:trHeight w:val="282"/>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72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808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FHMLSP OVERAGE, L.L.C.</w:t>
            </w:r>
          </w:p>
        </w:tc>
      </w:tr>
      <w:tr>
        <w:trPr>
          <w:trHeight w:val="434"/>
        </w:trPr>
        <w:tc>
          <w:tcPr>
            <w:tcW w:w="3160" w:type="dxa"/>
            <w:vAlign w:val="bottom"/>
          </w:tcPr>
          <w:p>
            <w:pPr>
              <w:spacing w:after="0"/>
              <w:rPr>
                <w:sz w:val="24"/>
                <w:szCs w:val="24"/>
                <w:color w:val="auto"/>
              </w:rPr>
            </w:pPr>
          </w:p>
        </w:tc>
        <w:tc>
          <w:tcPr>
            <w:tcW w:w="808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1068"/>
        </w:trPr>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49"/>
        </w:trPr>
        <w:tc>
          <w:tcPr>
            <w:tcW w:w="3160" w:type="dxa"/>
            <w:vAlign w:val="bottom"/>
            <w:shd w:val="clear" w:color="auto" w:fill="808080"/>
          </w:tcPr>
          <w:p>
            <w:pPr>
              <w:spacing w:after="0"/>
              <w:rPr>
                <w:sz w:val="12"/>
                <w:szCs w:val="12"/>
                <w:color w:val="auto"/>
              </w:rPr>
            </w:pPr>
          </w:p>
        </w:tc>
        <w:tc>
          <w:tcPr>
            <w:tcW w:w="1700" w:type="dxa"/>
            <w:vAlign w:val="bottom"/>
            <w:shd w:val="clear" w:color="auto" w:fill="808080"/>
          </w:tcPr>
          <w:p>
            <w:pPr>
              <w:spacing w:after="0"/>
              <w:rPr>
                <w:sz w:val="12"/>
                <w:szCs w:val="12"/>
                <w:color w:val="auto"/>
              </w:rPr>
            </w:pPr>
          </w:p>
        </w:tc>
        <w:tc>
          <w:tcPr>
            <w:tcW w:w="1660" w:type="dxa"/>
            <w:vAlign w:val="bottom"/>
            <w:shd w:val="clear" w:color="auto" w:fill="808080"/>
          </w:tcPr>
          <w:p>
            <w:pPr>
              <w:spacing w:after="0"/>
              <w:rPr>
                <w:sz w:val="12"/>
                <w:szCs w:val="12"/>
                <w:color w:val="auto"/>
              </w:rPr>
            </w:pPr>
          </w:p>
        </w:tc>
        <w:tc>
          <w:tcPr>
            <w:tcW w:w="4720" w:type="dxa"/>
            <w:vAlign w:val="bottom"/>
            <w:shd w:val="clear" w:color="auto" w:fill="808080"/>
          </w:tcPr>
          <w:p>
            <w:pPr>
              <w:spacing w:after="0"/>
              <w:rPr>
                <w:sz w:val="12"/>
                <w:szCs w:val="12"/>
                <w:color w:val="auto"/>
              </w:rPr>
            </w:pPr>
          </w:p>
        </w:tc>
      </w:tr>
    </w:tbl>
    <w:p>
      <w:pPr>
        <w:sectPr>
          <w:pgSz w:w="11900" w:h="16838" w:orient="portrait"/>
          <w:cols w:equalWidth="0" w:num="1">
            <w:col w:w="11240"/>
          </w:cols>
          <w:pgMar w:left="320" w:top="35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r>
      <w:tr>
        <w:trPr>
          <w:trHeight w:val="243"/>
        </w:trPr>
        <w:tc>
          <w:tcPr>
            <w:tcW w:w="3160" w:type="dxa"/>
            <w:vAlign w:val="bottom"/>
          </w:tcPr>
          <w:p>
            <w:pPr>
              <w:spacing w:after="0"/>
              <w:rPr>
                <w:sz w:val="21"/>
                <w:szCs w:val="21"/>
                <w:color w:val="auto"/>
              </w:rPr>
            </w:pPr>
          </w:p>
        </w:tc>
        <w:tc>
          <w:tcPr>
            <w:tcW w:w="5160" w:type="dxa"/>
            <w:vAlign w:val="bottom"/>
            <w:gridSpan w:val="3"/>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 L.P.</w:t>
            </w:r>
          </w:p>
        </w:tc>
      </w:tr>
      <w:tr>
        <w:trPr>
          <w:trHeight w:val="282"/>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3"/>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XI, L.L.C.</w:t>
            </w:r>
          </w:p>
        </w:tc>
      </w:tr>
      <w:tr>
        <w:trPr>
          <w:trHeight w:val="433"/>
        </w:trPr>
        <w:tc>
          <w:tcPr>
            <w:tcW w:w="3160" w:type="dxa"/>
            <w:vAlign w:val="bottom"/>
          </w:tcPr>
          <w:p>
            <w:pPr>
              <w:spacing w:after="0"/>
              <w:rPr>
                <w:sz w:val="24"/>
                <w:szCs w:val="24"/>
                <w:color w:val="auto"/>
              </w:rPr>
            </w:pPr>
          </w:p>
        </w:tc>
        <w:tc>
          <w:tcPr>
            <w:tcW w:w="5160" w:type="dxa"/>
            <w:vAlign w:val="bottom"/>
            <w:gridSpan w:val="7"/>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r>
      <w:tr>
        <w:trPr>
          <w:trHeight w:val="243"/>
        </w:trPr>
        <w:tc>
          <w:tcPr>
            <w:tcW w:w="3160" w:type="dxa"/>
            <w:vAlign w:val="bottom"/>
          </w:tcPr>
          <w:p>
            <w:pPr>
              <w:spacing w:after="0"/>
              <w:rPr>
                <w:sz w:val="21"/>
                <w:szCs w:val="21"/>
                <w:color w:val="auto"/>
              </w:rPr>
            </w:pPr>
          </w:p>
        </w:tc>
        <w:tc>
          <w:tcPr>
            <w:tcW w:w="5160" w:type="dxa"/>
            <w:vAlign w:val="bottom"/>
            <w:gridSpan w:val="7"/>
          </w:tcPr>
          <w:p>
            <w:pPr>
              <w:ind w:left="138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r>
      <w:tr>
        <w:trPr>
          <w:trHeight w:val="282"/>
        </w:trPr>
        <w:tc>
          <w:tcPr>
            <w:tcW w:w="3160" w:type="dxa"/>
            <w:vAlign w:val="bottom"/>
          </w:tcPr>
          <w:p>
            <w:pPr>
              <w:spacing w:after="0"/>
              <w:rPr>
                <w:sz w:val="24"/>
                <w:szCs w:val="24"/>
                <w:color w:val="auto"/>
              </w:rPr>
            </w:pPr>
          </w:p>
        </w:tc>
        <w:tc>
          <w:tcPr>
            <w:tcW w:w="5160" w:type="dxa"/>
            <w:vAlign w:val="bottom"/>
            <w:gridSpan w:val="7"/>
          </w:tcPr>
          <w:p>
            <w:pPr>
              <w:ind w:left="138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7"/>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68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 L.P.</w:t>
            </w:r>
          </w:p>
        </w:tc>
      </w:tr>
      <w:tr>
        <w:trPr>
          <w:trHeight w:val="282"/>
        </w:trPr>
        <w:tc>
          <w:tcPr>
            <w:tcW w:w="3160" w:type="dxa"/>
            <w:vAlign w:val="bottom"/>
          </w:tcPr>
          <w:p>
            <w:pPr>
              <w:spacing w:after="0"/>
              <w:rPr>
                <w:sz w:val="24"/>
                <w:szCs w:val="24"/>
                <w:color w:val="auto"/>
              </w:rPr>
            </w:pPr>
          </w:p>
        </w:tc>
        <w:tc>
          <w:tcPr>
            <w:tcW w:w="5160" w:type="dxa"/>
            <w:vAlign w:val="bottom"/>
            <w:gridSpan w:val="7"/>
          </w:tcPr>
          <w:p>
            <w:pPr>
              <w:ind w:left="138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3"/>
        </w:trPr>
        <w:tc>
          <w:tcPr>
            <w:tcW w:w="3160" w:type="dxa"/>
            <w:vAlign w:val="bottom"/>
          </w:tcPr>
          <w:p>
            <w:pPr>
              <w:spacing w:after="0"/>
              <w:rPr>
                <w:sz w:val="24"/>
                <w:szCs w:val="24"/>
                <w:color w:val="auto"/>
              </w:rPr>
            </w:pPr>
          </w:p>
        </w:tc>
        <w:tc>
          <w:tcPr>
            <w:tcW w:w="5160" w:type="dxa"/>
            <w:vAlign w:val="bottom"/>
            <w:gridSpan w:val="7"/>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729"/>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b w:val="1"/>
                <w:bCs w:val="1"/>
                <w:color w:val="auto"/>
              </w:rPr>
              <w:t>FHMLS X, L.L.C.</w:t>
            </w:r>
          </w:p>
        </w:tc>
      </w:tr>
      <w:tr>
        <w:trPr>
          <w:trHeight w:val="433"/>
        </w:trPr>
        <w:tc>
          <w:tcPr>
            <w:tcW w:w="3160" w:type="dxa"/>
            <w:vAlign w:val="bottom"/>
          </w:tcPr>
          <w:p>
            <w:pPr>
              <w:spacing w:after="0"/>
              <w:rPr>
                <w:sz w:val="24"/>
                <w:szCs w:val="24"/>
                <w:color w:val="auto"/>
              </w:rPr>
            </w:pPr>
          </w:p>
        </w:tc>
        <w:tc>
          <w:tcPr>
            <w:tcW w:w="5160" w:type="dxa"/>
            <w:vAlign w:val="bottom"/>
            <w:gridSpan w:val="7"/>
          </w:tcPr>
          <w:p>
            <w:pPr>
              <w:ind w:left="138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6"/>
              </w:rPr>
              <w:t>Steve R. Bailey, Chief Financial Officer</w:t>
            </w:r>
          </w:p>
        </w:tc>
      </w:tr>
      <w:tr>
        <w:trPr>
          <w:trHeight w:val="67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75"/>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James N. Topper</w:t>
            </w:r>
          </w:p>
        </w:tc>
      </w:tr>
      <w:tr>
        <w:trPr>
          <w:trHeight w:val="67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Patrick J. Heron</w:t>
            </w:r>
          </w:p>
        </w:tc>
      </w:tr>
      <w:tr>
        <w:trPr>
          <w:trHeight w:val="67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Albert Cha</w:t>
            </w:r>
          </w:p>
        </w:tc>
      </w:tr>
      <w:tr>
        <w:trPr>
          <w:trHeight w:val="67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James Brush</w:t>
            </w:r>
          </w:p>
        </w:tc>
      </w:tr>
      <w:tr>
        <w:trPr>
          <w:trHeight w:val="67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color w:val="auto"/>
              </w:rPr>
              <w:t>By: ***</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Daniel Estes</w:t>
            </w:r>
          </w:p>
        </w:tc>
      </w:tr>
      <w:tr>
        <w:trPr>
          <w:trHeight w:val="676"/>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May 15, 2025</w:t>
            </w:r>
          </w:p>
        </w:tc>
        <w:tc>
          <w:tcPr>
            <w:tcW w:w="5160" w:type="dxa"/>
            <w:vAlign w:val="bottom"/>
            <w:gridSpan w:val="7"/>
          </w:tcPr>
          <w:p>
            <w:pPr>
              <w:ind w:left="136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76"/>
        </w:trPr>
        <w:tc>
          <w:tcPr>
            <w:tcW w:w="3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5"/>
              </w:rPr>
              <w:t>Steve R. Bailey, as</w:t>
            </w: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Attorney-in-Fact</w:t>
            </w:r>
          </w:p>
        </w:tc>
      </w:tr>
    </w:tbl>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Joint Filing Agreement was executed by Steve R. Bailey on behalf of the individuals listed above pursuant to a Power of Attorney, a copy of which was filed with the SEC on March 29, 2016.</w:t>
      </w:r>
    </w:p>
    <w:p>
      <w:pPr>
        <w:sectPr>
          <w:pgSz w:w="11900" w:h="16838" w:orient="portrait"/>
          <w:cols w:equalWidth="0" w:num="1">
            <w:col w:w="11240"/>
          </w:cols>
          <w:pgMar w:left="320" w:top="102" w:right="339" w:bottom="0" w:gutter="0" w:footer="0" w:header="0"/>
        </w:sectPr>
      </w:pPr>
    </w:p>
    <w:bookmarkStart w:id="21" w:name="page22"/>
    <w:bookmarkEnd w:id="21"/>
    <w:p>
      <w:pPr>
        <w:spacing w:after="0" w:line="259" w:lineRule="auto"/>
        <w:rPr>
          <w:sz w:val="20"/>
          <w:szCs w:val="20"/>
          <w:color w:val="auto"/>
        </w:rPr>
      </w:pPr>
      <w:r>
        <w:rPr>
          <w:rFonts w:ascii="Times New Roman" w:cs="Times New Roman" w:eastAsia="Times New Roman" w:hAnsi="Times New Roman"/>
          <w:sz w:val="22"/>
          <w:szCs w:val="22"/>
          <w:color w:val="auto"/>
        </w:rPr>
        <w:t>**This Joint Filing Agreement was executed by Steve R. Bailey on behalf of the individuals listed above pursuant to a Power of Attorney, a copy of which was filed with the SEC on August 16, 2021.</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Joint Filing Agreement was executed by Steve R. Bailey on behalf of the individuals listed above pursuant to a Power of Attorney, a copy of which was filed with the SEC on April 18, 2022.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2"/>
      <w:numFmt w:val="bullet"/>
      <w:start w:val="1"/>
    </w:lvl>
  </w:abstractNum>
  <w:abstractNum w:abstractNumId="1">
    <w:nsid w:val="1BEFD79F"/>
    <w:multiLevelType w:val="hybridMultilevel"/>
    <w:lvl w:ilvl="0">
      <w:lvlJc w:val="left"/>
      <w:lvlText w:val="3"/>
      <w:numFmt w:val="bullet"/>
      <w:start w:val="1"/>
    </w:lvl>
  </w:abstractNum>
  <w:abstractNum w:abstractNumId="2">
    <w:nsid w:val="41A7C4C9"/>
    <w:multiLevelType w:val="hybridMultilevel"/>
    <w:lvl w:ilvl="0">
      <w:lvlJc w:val="left"/>
      <w:lvlText w:val="2"/>
      <w:numFmt w:val="bullet"/>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2"/>
      <w:numFmt w:val="bullet"/>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2"/>
      <w:numFmt w:val="bullet"/>
      <w:start w:val="1"/>
    </w:lvl>
  </w:abstractNum>
  <w:abstractNum w:abstractNumId="8">
    <w:nsid w:val="3F2DBA31"/>
    <w:multiLevelType w:val="hybridMultilevel"/>
    <w:lvl w:ilvl="0">
      <w:lvlJc w:val="left"/>
      <w:lvlText w:val="3"/>
      <w:numFmt w:val="bullet"/>
      <w:start w:val="1"/>
    </w:lvl>
  </w:abstractNum>
  <w:abstractNum w:abstractNumId="9">
    <w:nsid w:val="7C83E458"/>
    <w:multiLevelType w:val="hybridMultilevel"/>
    <w:lvl w:ilvl="0">
      <w:lvlJc w:val="left"/>
      <w:lvlText w:val="2"/>
      <w:numFmt w:val="bullet"/>
      <w:start w:val="1"/>
    </w:lvl>
  </w:abstractNum>
  <w:abstractNum w:abstractNumId="10">
    <w:nsid w:val="257130A3"/>
    <w:multiLevelType w:val="hybridMultilevel"/>
    <w:lvl w:ilvl="0">
      <w:lvlJc w:val="left"/>
      <w:lvlText w:val="3"/>
      <w:numFmt w:val="bullet"/>
      <w:start w:val="1"/>
    </w:lvl>
  </w:abstractNum>
  <w:abstractNum w:abstractNumId="11">
    <w:nsid w:val="62BBD95A"/>
    <w:multiLevelType w:val="hybridMultilevel"/>
    <w:lvl w:ilvl="0">
      <w:lvlJc w:val="left"/>
      <w:lvlText w:val="2"/>
      <w:numFmt w:val="bullet"/>
      <w:start w:val="1"/>
    </w:lvl>
  </w:abstractNum>
  <w:abstractNum w:abstractNumId="12">
    <w:nsid w:val="436C6125"/>
    <w:multiLevelType w:val="hybridMultilevel"/>
    <w:lvl w:ilvl="0">
      <w:lvlJc w:val="left"/>
      <w:lvlText w:val="2"/>
      <w:numFmt w:val="bullet"/>
      <w:start w:val="1"/>
    </w:lvl>
  </w:abstractNum>
  <w:abstractNum w:abstractNumId="13">
    <w:nsid w:val="628C895D"/>
    <w:multiLevelType w:val="hybridMultilevel"/>
    <w:lvl w:ilvl="0">
      <w:lvlJc w:val="left"/>
      <w:lvlText w:val="2"/>
      <w:numFmt w:val="bullet"/>
      <w:start w:val="1"/>
    </w:lvl>
  </w:abstractNum>
  <w:abstractNum w:abstractNumId="14">
    <w:nsid w:val="333AB105"/>
    <w:multiLevelType w:val="hybridMultilevel"/>
    <w:lvl w:ilvl="0">
      <w:lvlJc w:val="left"/>
      <w:lvlText w:val="2"/>
      <w:numFmt w:val="bullet"/>
      <w:start w:val="1"/>
    </w:lvl>
  </w:abstractNum>
  <w:abstractNum w:abstractNumId="15">
    <w:nsid w:val="721DA317"/>
    <w:multiLevelType w:val="hybridMultilevel"/>
    <w:lvl w:ilvl="0">
      <w:lvlJc w:val="left"/>
      <w:lvlText w:val="2"/>
      <w:numFmt w:val="bullet"/>
      <w:start w:val="1"/>
    </w:lvl>
  </w:abstractNum>
  <w:abstractNum w:abstractNumId="16">
    <w:nsid w:val="2443A858"/>
    <w:multiLevelType w:val="hybridMultilevel"/>
    <w:lvl w:ilvl="0">
      <w:lvlJc w:val="left"/>
      <w:lvlText w:val="3"/>
      <w:numFmt w:val="bullet"/>
      <w:start w:val="1"/>
    </w:lvl>
  </w:abstractNum>
  <w:abstractNum w:abstractNumId="17">
    <w:nsid w:val="2D1D5AE9"/>
    <w:multiLevelType w:val="hybridMultilevel"/>
    <w:lvl w:ilvl="0">
      <w:lvlJc w:val="left"/>
      <w:lvlText w:val="2"/>
      <w:numFmt w:val="bullet"/>
      <w:start w:val="1"/>
    </w:lvl>
  </w:abstractNum>
  <w:abstractNum w:abstractNumId="18">
    <w:nsid w:val="6763845E"/>
    <w:multiLevelType w:val="hybridMultilevel"/>
    <w:lvl w:ilvl="0">
      <w:lvlJc w:val="left"/>
      <w:lvlText w:val="3"/>
      <w:numFmt w:val="bullet"/>
      <w:start w:val="1"/>
    </w:lvl>
  </w:abstractNum>
  <w:abstractNum w:abstractNumId="19">
    <w:nsid w:val="75A2A8D4"/>
    <w:multiLevelType w:val="hybridMultilevel"/>
    <w:lvl w:ilvl="0">
      <w:lvlJc w:val="left"/>
      <w:lvlText w:val="2"/>
      <w:numFmt w:val="bullet"/>
      <w:start w:val="1"/>
    </w:lvl>
  </w:abstractNum>
  <w:abstractNum w:abstractNumId="20">
    <w:nsid w:val="8EDBDAB"/>
    <w:multiLevelType w:val="hybridMultilevel"/>
    <w:lvl w:ilvl="0">
      <w:lvlJc w:val="left"/>
      <w:lvlText w:val="%1"/>
      <w:numFmt w:val="decimal"/>
      <w:start w:val="11"/>
    </w:lvl>
  </w:abstractNum>
  <w:abstractNum w:abstractNumId="21">
    <w:nsid w:val="79838CB2"/>
    <w:multiLevelType w:val="hybridMultilevel"/>
    <w:lvl w:ilvl="0">
      <w:lvlJc w:val="left"/>
      <w:lvlText w:val="2"/>
      <w:numFmt w:val="bullet"/>
      <w:start w:val="1"/>
    </w:lvl>
  </w:abstractNum>
  <w:abstractNum w:abstractNumId="22">
    <w:nsid w:val="4353D0CD"/>
    <w:multiLevelType w:val="hybridMultilevel"/>
    <w:lvl w:ilvl="0">
      <w:lvlJc w:val="left"/>
      <w:lvlText w:val="2"/>
      <w:numFmt w:val="bullet"/>
      <w:start w:val="1"/>
    </w:lvl>
  </w:abstractNum>
  <w:abstractNum w:abstractNumId="23">
    <w:nsid w:val="B03E0C6"/>
    <w:multiLevelType w:val="hybridMultilevel"/>
    <w:lvl w:ilvl="0">
      <w:lvlJc w:val="left"/>
      <w:lvlText w:val="2"/>
      <w:numFmt w:val="bullet"/>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2025-05-15T08:43:20Z</dcterms:created>
  <dcterms:modified xsi:type="dcterms:W3CDTF">2025-05-15T08:43:20Z</dcterms:modified>
</cp:coreProperties>
</file>